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56" w:rsidRDefault="00001256" w:rsidP="00001256">
      <w:pPr>
        <w:spacing w:after="0" w:line="240" w:lineRule="auto"/>
        <w:ind w:left="482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8C660E" wp14:editId="703405A5">
            <wp:simplePos x="0" y="0"/>
            <wp:positionH relativeFrom="column">
              <wp:posOffset>2668905</wp:posOffset>
            </wp:positionH>
            <wp:positionV relativeFrom="paragraph">
              <wp:posOffset>-382270</wp:posOffset>
            </wp:positionV>
            <wp:extent cx="487680" cy="638810"/>
            <wp:effectExtent l="0" t="0" r="762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256" w:rsidRPr="008007F4" w:rsidRDefault="00001256" w:rsidP="00001256">
      <w:pPr>
        <w:spacing w:after="0" w:line="240" w:lineRule="auto"/>
        <w:ind w:left="4820"/>
        <w:rPr>
          <w:rFonts w:ascii="Times New Roman" w:hAnsi="Times New Roman"/>
        </w:rPr>
      </w:pPr>
    </w:p>
    <w:p w:rsidR="00001256" w:rsidRPr="008007F4" w:rsidRDefault="00001256" w:rsidP="0000125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07F4">
        <w:rPr>
          <w:rFonts w:ascii="Times New Roman" w:hAnsi="Times New Roman"/>
          <w:sz w:val="24"/>
          <w:szCs w:val="24"/>
        </w:rPr>
        <w:t>Российская Федерация Приморский край</w:t>
      </w:r>
    </w:p>
    <w:p w:rsidR="00001256" w:rsidRPr="008007F4" w:rsidRDefault="00001256" w:rsidP="0000125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001256" w:rsidRPr="008007F4" w:rsidRDefault="00001256" w:rsidP="000012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001256" w:rsidRPr="008007F4" w:rsidRDefault="00001256" w:rsidP="000012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001256" w:rsidRPr="008007F4" w:rsidRDefault="00001256" w:rsidP="000012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001256" w:rsidRPr="008007F4" w:rsidRDefault="00001256" w:rsidP="000012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1256" w:rsidRPr="008007F4" w:rsidRDefault="00001256" w:rsidP="000012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>РЕШЕНИЕ</w:t>
      </w:r>
    </w:p>
    <w:p w:rsidR="00001256" w:rsidRPr="008007F4" w:rsidRDefault="00001256" w:rsidP="00001256">
      <w:pPr>
        <w:widowControl w:val="0"/>
        <w:spacing w:after="0" w:line="240" w:lineRule="auto"/>
        <w:rPr>
          <w:rFonts w:ascii="Times New Roman" w:hAnsi="Times New Roman"/>
        </w:rPr>
      </w:pPr>
    </w:p>
    <w:p w:rsidR="00001256" w:rsidRPr="00D56395" w:rsidRDefault="00001256" w:rsidP="00001256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24 июня</w:t>
      </w:r>
      <w:r w:rsidRPr="00D56395">
        <w:rPr>
          <w:rFonts w:ascii="Times New Roman" w:hAnsi="Times New Roman"/>
          <w:sz w:val="28"/>
          <w:szCs w:val="28"/>
        </w:rPr>
        <w:t xml:space="preserve"> 2025 года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5639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6395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D56395">
        <w:rPr>
          <w:rFonts w:ascii="Times New Roman" w:hAnsi="Times New Roman"/>
          <w:sz w:val="28"/>
          <w:szCs w:val="28"/>
        </w:rPr>
        <w:t>с</w:t>
      </w:r>
      <w:proofErr w:type="gramEnd"/>
      <w:r w:rsidRPr="00D56395">
        <w:rPr>
          <w:rFonts w:ascii="Times New Roman" w:hAnsi="Times New Roman"/>
          <w:sz w:val="28"/>
          <w:szCs w:val="28"/>
        </w:rPr>
        <w:t xml:space="preserve">. Яковлевка                          № </w:t>
      </w:r>
      <w:r>
        <w:rPr>
          <w:rFonts w:ascii="Times New Roman" w:hAnsi="Times New Roman"/>
          <w:sz w:val="28"/>
          <w:szCs w:val="28"/>
        </w:rPr>
        <w:t xml:space="preserve"> 531</w:t>
      </w:r>
    </w:p>
    <w:p w:rsidR="00001256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1256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219">
        <w:rPr>
          <w:rFonts w:ascii="Times New Roman" w:hAnsi="Times New Roman"/>
          <w:b/>
          <w:sz w:val="28"/>
          <w:szCs w:val="28"/>
        </w:rPr>
        <w:t xml:space="preserve">Об отчете Администрации </w:t>
      </w:r>
      <w:proofErr w:type="spellStart"/>
      <w:r w:rsidRPr="00B35219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B35219"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</w:p>
    <w:p w:rsidR="00001256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219">
        <w:rPr>
          <w:rFonts w:ascii="Times New Roman" w:hAnsi="Times New Roman"/>
          <w:b/>
          <w:sz w:val="28"/>
          <w:szCs w:val="28"/>
        </w:rPr>
        <w:t xml:space="preserve">об исполнении полномочий  по осуществлению мероприятий </w:t>
      </w:r>
    </w:p>
    <w:p w:rsidR="00001256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5219">
        <w:rPr>
          <w:rFonts w:ascii="Times New Roman" w:hAnsi="Times New Roman"/>
          <w:b/>
          <w:sz w:val="28"/>
          <w:szCs w:val="28"/>
        </w:rPr>
        <w:t xml:space="preserve">по обеспечению безопасности людей на водных объектах, охране их жизни и здоровья на территории </w:t>
      </w:r>
      <w:proofErr w:type="spellStart"/>
      <w:r w:rsidRPr="00B35219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B35219">
        <w:rPr>
          <w:rFonts w:ascii="Times New Roman" w:hAnsi="Times New Roman"/>
          <w:b/>
          <w:sz w:val="28"/>
          <w:szCs w:val="28"/>
        </w:rPr>
        <w:t xml:space="preserve"> муниципального округа за 2024</w:t>
      </w:r>
      <w:r>
        <w:rPr>
          <w:rFonts w:ascii="Times New Roman" w:hAnsi="Times New Roman"/>
          <w:b/>
          <w:sz w:val="28"/>
          <w:szCs w:val="28"/>
        </w:rPr>
        <w:t xml:space="preserve"> год и текущий период 2025 года</w:t>
      </w:r>
    </w:p>
    <w:p w:rsidR="00001256" w:rsidRPr="00B35219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1256" w:rsidRDefault="00001256" w:rsidP="00001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256" w:rsidRDefault="00001256" w:rsidP="00001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565">
        <w:rPr>
          <w:rFonts w:ascii="Times New Roman" w:hAnsi="Times New Roman"/>
          <w:sz w:val="28"/>
          <w:szCs w:val="28"/>
        </w:rPr>
        <w:t xml:space="preserve">Заслушав и обсудив </w:t>
      </w:r>
      <w:r w:rsidRPr="00A026F4">
        <w:rPr>
          <w:rFonts w:ascii="Times New Roman" w:hAnsi="Times New Roman"/>
          <w:sz w:val="28"/>
          <w:szCs w:val="28"/>
        </w:rPr>
        <w:t xml:space="preserve">отчет Администрации </w:t>
      </w:r>
      <w:proofErr w:type="spellStart"/>
      <w:r w:rsidRPr="00A026F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A026F4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63273B">
        <w:rPr>
          <w:rFonts w:ascii="Times New Roman" w:hAnsi="Times New Roman"/>
          <w:sz w:val="28"/>
          <w:szCs w:val="28"/>
        </w:rPr>
        <w:t xml:space="preserve">об исполнении полномочий  по осуществлению мероприятий по обеспечению безопасности людей на водных объектах, охране их жизни и здоровья на территории </w:t>
      </w:r>
      <w:proofErr w:type="spellStart"/>
      <w:r w:rsidRPr="0063273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63273B">
        <w:rPr>
          <w:rFonts w:ascii="Times New Roman" w:hAnsi="Times New Roman"/>
          <w:sz w:val="28"/>
          <w:szCs w:val="28"/>
        </w:rPr>
        <w:t xml:space="preserve"> муниципального округа за 2024 год и текущий период 2025 года</w:t>
      </w:r>
      <w:r>
        <w:rPr>
          <w:rFonts w:ascii="Times New Roman" w:hAnsi="Times New Roman"/>
          <w:sz w:val="28"/>
          <w:szCs w:val="28"/>
        </w:rPr>
        <w:t>, Дума округа на основании пункта 38</w:t>
      </w:r>
      <w:r w:rsidRPr="00A026F4">
        <w:rPr>
          <w:rFonts w:ascii="Times New Roman" w:hAnsi="Times New Roman"/>
          <w:sz w:val="28"/>
          <w:szCs w:val="28"/>
        </w:rPr>
        <w:t xml:space="preserve"> статьи 6, </w:t>
      </w:r>
      <w:r>
        <w:rPr>
          <w:rFonts w:ascii="Times New Roman" w:hAnsi="Times New Roman"/>
          <w:sz w:val="28"/>
          <w:szCs w:val="28"/>
        </w:rPr>
        <w:t xml:space="preserve">пункта 9 статьи 28, статьи 52 Устава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proofErr w:type="gramEnd"/>
    </w:p>
    <w:p w:rsidR="00001256" w:rsidRDefault="00001256" w:rsidP="0000125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1256" w:rsidRDefault="00001256" w:rsidP="0000125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1256" w:rsidRPr="008007F4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7F4">
        <w:rPr>
          <w:rFonts w:ascii="Times New Roman" w:hAnsi="Times New Roman"/>
          <w:b/>
          <w:sz w:val="28"/>
          <w:szCs w:val="28"/>
        </w:rPr>
        <w:t>РЕШИЛА:</w:t>
      </w:r>
    </w:p>
    <w:p w:rsidR="00001256" w:rsidRDefault="00001256" w:rsidP="00001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256" w:rsidRDefault="00001256" w:rsidP="00001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A026F4">
        <w:rPr>
          <w:rFonts w:ascii="Times New Roman" w:hAnsi="Times New Roman"/>
          <w:sz w:val="28"/>
          <w:szCs w:val="28"/>
        </w:rPr>
        <w:t xml:space="preserve">тчет Администрации </w:t>
      </w:r>
      <w:proofErr w:type="spellStart"/>
      <w:r w:rsidRPr="00A026F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A026F4">
        <w:rPr>
          <w:rFonts w:ascii="Times New Roman" w:hAnsi="Times New Roman"/>
          <w:sz w:val="28"/>
          <w:szCs w:val="28"/>
        </w:rPr>
        <w:t xml:space="preserve"> муниципального округа об исполнении полномочий </w:t>
      </w:r>
      <w:r w:rsidRPr="0063273B">
        <w:rPr>
          <w:rFonts w:ascii="Times New Roman" w:hAnsi="Times New Roman"/>
          <w:sz w:val="28"/>
          <w:szCs w:val="28"/>
        </w:rPr>
        <w:t xml:space="preserve">по осуществлению мероприятий по обеспечению безопасности людей на водных объектах, охране их жизни и здоровья на территории </w:t>
      </w:r>
      <w:proofErr w:type="spellStart"/>
      <w:r w:rsidRPr="0063273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63273B">
        <w:rPr>
          <w:rFonts w:ascii="Times New Roman" w:hAnsi="Times New Roman"/>
          <w:sz w:val="28"/>
          <w:szCs w:val="28"/>
        </w:rPr>
        <w:t xml:space="preserve"> муниципального округа за 2024 год и текущий период 2025 года</w:t>
      </w:r>
      <w:r>
        <w:rPr>
          <w:rFonts w:ascii="Times New Roman" w:hAnsi="Times New Roman"/>
          <w:sz w:val="28"/>
          <w:szCs w:val="28"/>
        </w:rPr>
        <w:t xml:space="preserve"> утвердить (прилагается).</w:t>
      </w:r>
    </w:p>
    <w:p w:rsidR="00001256" w:rsidRPr="008007F4" w:rsidRDefault="00001256" w:rsidP="00001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7F4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001256" w:rsidRPr="008007F4" w:rsidRDefault="00001256" w:rsidP="00001256">
      <w:pPr>
        <w:pStyle w:val="3"/>
        <w:spacing w:after="0"/>
        <w:ind w:left="0"/>
        <w:rPr>
          <w:sz w:val="28"/>
          <w:szCs w:val="28"/>
        </w:rPr>
      </w:pPr>
    </w:p>
    <w:p w:rsidR="00001256" w:rsidRDefault="00001256" w:rsidP="00001256">
      <w:pPr>
        <w:widowControl w:val="0"/>
        <w:spacing w:after="0" w:line="240" w:lineRule="auto"/>
        <w:ind w:firstLine="5954"/>
        <w:rPr>
          <w:rFonts w:ascii="Times New Roman" w:hAnsi="Times New Roman"/>
        </w:rPr>
      </w:pPr>
    </w:p>
    <w:p w:rsidR="00001256" w:rsidRDefault="00001256" w:rsidP="00001256">
      <w:pPr>
        <w:widowControl w:val="0"/>
        <w:spacing w:after="0" w:line="240" w:lineRule="auto"/>
        <w:ind w:firstLine="5954"/>
        <w:rPr>
          <w:rFonts w:ascii="Times New Roman" w:hAnsi="Times New Roman"/>
        </w:rPr>
      </w:pPr>
    </w:p>
    <w:p w:rsidR="00001256" w:rsidRPr="008007F4" w:rsidRDefault="00001256" w:rsidP="00001256">
      <w:pPr>
        <w:widowControl w:val="0"/>
        <w:spacing w:after="0" w:line="240" w:lineRule="auto"/>
        <w:ind w:firstLine="5954"/>
        <w:rPr>
          <w:rFonts w:ascii="Times New Roman" w:hAnsi="Times New Roman"/>
        </w:rPr>
      </w:pPr>
    </w:p>
    <w:p w:rsidR="00001256" w:rsidRPr="008007F4" w:rsidRDefault="00001256" w:rsidP="00001256">
      <w:pPr>
        <w:widowControl w:val="0"/>
        <w:spacing w:after="0" w:line="240" w:lineRule="auto"/>
        <w:ind w:firstLine="5954"/>
        <w:rPr>
          <w:rFonts w:ascii="Times New Roman" w:hAnsi="Times New Roman"/>
        </w:rPr>
      </w:pPr>
    </w:p>
    <w:p w:rsidR="00001256" w:rsidRPr="008007F4" w:rsidRDefault="00001256" w:rsidP="00001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7F4"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spellStart"/>
      <w:r w:rsidRPr="008007F4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8007F4">
        <w:rPr>
          <w:rFonts w:ascii="Times New Roman" w:hAnsi="Times New Roman"/>
          <w:sz w:val="28"/>
          <w:szCs w:val="28"/>
        </w:rPr>
        <w:t xml:space="preserve"> </w:t>
      </w:r>
    </w:p>
    <w:p w:rsidR="00001256" w:rsidRDefault="00001256" w:rsidP="00001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7F4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8007F4">
        <w:rPr>
          <w:rFonts w:ascii="Times New Roman" w:hAnsi="Times New Roman"/>
          <w:sz w:val="28"/>
          <w:szCs w:val="28"/>
        </w:rPr>
        <w:t>Животягин</w:t>
      </w:r>
      <w:proofErr w:type="spellEnd"/>
    </w:p>
    <w:p w:rsidR="00001256" w:rsidRDefault="00001256" w:rsidP="00001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256" w:rsidRDefault="00001256" w:rsidP="00001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256" w:rsidRDefault="00001256" w:rsidP="00001256">
      <w:pPr>
        <w:jc w:val="center"/>
        <w:rPr>
          <w:rFonts w:ascii="Times New Roman" w:hAnsi="Times New Roman"/>
          <w:sz w:val="28"/>
          <w:szCs w:val="28"/>
        </w:rPr>
      </w:pPr>
    </w:p>
    <w:p w:rsidR="00001256" w:rsidRDefault="00001256" w:rsidP="00001256">
      <w:pPr>
        <w:pStyle w:val="a3"/>
        <w:ind w:left="55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001256" w:rsidRDefault="00001256" w:rsidP="00001256">
      <w:pPr>
        <w:pStyle w:val="a3"/>
        <w:ind w:left="55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256" w:rsidRDefault="00001256" w:rsidP="00001256">
      <w:pPr>
        <w:pStyle w:val="a3"/>
        <w:ind w:left="55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proofErr w:type="gramEnd"/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br/>
        <w:t>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 xml:space="preserve"> Думы </w:t>
      </w:r>
      <w:proofErr w:type="spellStart"/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>Яковлевского</w:t>
      </w:r>
      <w:proofErr w:type="spellEnd"/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br/>
        <w:t>муниципального округа</w:t>
      </w:r>
    </w:p>
    <w:p w:rsidR="00001256" w:rsidRDefault="00001256" w:rsidP="00001256">
      <w:pPr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24 июня </w:t>
      </w: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531</w:t>
      </w:r>
    </w:p>
    <w:p w:rsidR="00001256" w:rsidRPr="000D7358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7358">
        <w:rPr>
          <w:rFonts w:ascii="Times New Roman" w:hAnsi="Times New Roman"/>
          <w:b/>
          <w:sz w:val="26"/>
          <w:szCs w:val="26"/>
        </w:rPr>
        <w:t>ОТЧЕТ</w:t>
      </w:r>
    </w:p>
    <w:p w:rsidR="00001256" w:rsidRPr="000D7358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7358">
        <w:rPr>
          <w:rFonts w:ascii="Times New Roman" w:hAnsi="Times New Roman"/>
          <w:b/>
          <w:sz w:val="26"/>
          <w:szCs w:val="26"/>
        </w:rPr>
        <w:t xml:space="preserve">об исполнении полномочий по организации и осуществлению мероприятий по обеспечению </w:t>
      </w:r>
      <w:bookmarkStart w:id="1" w:name="_Hlk200095366"/>
      <w:r w:rsidRPr="000D7358">
        <w:rPr>
          <w:rFonts w:ascii="Times New Roman" w:hAnsi="Times New Roman"/>
          <w:b/>
          <w:sz w:val="26"/>
          <w:szCs w:val="26"/>
        </w:rPr>
        <w:t xml:space="preserve">безопасности людей на водных объектах, охране их жизни и здоровья </w:t>
      </w:r>
      <w:bookmarkEnd w:id="1"/>
      <w:r w:rsidRPr="000D7358">
        <w:rPr>
          <w:rFonts w:ascii="Times New Roman" w:hAnsi="Times New Roman"/>
          <w:b/>
          <w:sz w:val="26"/>
          <w:szCs w:val="26"/>
        </w:rPr>
        <w:t xml:space="preserve">на территории </w:t>
      </w:r>
      <w:proofErr w:type="spellStart"/>
      <w:r w:rsidRPr="000D7358">
        <w:rPr>
          <w:rFonts w:ascii="Times New Roman" w:hAnsi="Times New Roman"/>
          <w:b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b/>
          <w:sz w:val="26"/>
          <w:szCs w:val="26"/>
        </w:rPr>
        <w:t xml:space="preserve"> муниципального округа за 2024 год и текущий период 2025 года</w:t>
      </w:r>
    </w:p>
    <w:p w:rsidR="00001256" w:rsidRPr="000D7358" w:rsidRDefault="00001256" w:rsidP="000012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Постоянно действующим органом управления, специально уполномоченным на решение задач в области обеспечения безопасности людей на водных объектах, охране их жизни и здоровья в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Яковлевском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муниципальном округе является отдел ГОЧС Администрации ЯМО.</w:t>
      </w: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В рамках своих полномочий отделом ГОЧС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в 2024 году и в первом квартале 2025 года проведены следующие мероприятия: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Решением Думы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23 апреля 2024 года № 290-НПА утверждено Положение об осуществлении мероприятий по обеспечению безопасности людей на водных объектах, охране их жизни и здоровья на территории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D7358">
        <w:rPr>
          <w:rFonts w:ascii="Times New Roman" w:hAnsi="Times New Roman"/>
          <w:sz w:val="26"/>
          <w:szCs w:val="26"/>
        </w:rPr>
        <w:t xml:space="preserve">- В соответствии с разделом 3 решения 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26.04.2024 № 09 «О мерах по  предупреждению чрезвычайных ситуаций в местах отдыха населения на водных объектах в период навигации маломерных судов и купального сезона 2024 года, безопасности детей на водных объектах» утверждены мероприятия для безопасного пребывания граждан на водных</w:t>
      </w:r>
      <w:proofErr w:type="gramEnd"/>
      <w:r w:rsidRPr="000D735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D7358">
        <w:rPr>
          <w:rFonts w:ascii="Times New Roman" w:hAnsi="Times New Roman"/>
          <w:sz w:val="26"/>
          <w:szCs w:val="26"/>
        </w:rPr>
        <w:t>объектах</w:t>
      </w:r>
      <w:proofErr w:type="gramEnd"/>
      <w:r w:rsidRPr="000D7358">
        <w:rPr>
          <w:rFonts w:ascii="Times New Roman" w:hAnsi="Times New Roman"/>
          <w:sz w:val="26"/>
          <w:szCs w:val="26"/>
        </w:rPr>
        <w:t xml:space="preserve"> на территории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D7358">
        <w:rPr>
          <w:rFonts w:ascii="Times New Roman" w:hAnsi="Times New Roman"/>
          <w:sz w:val="26"/>
          <w:szCs w:val="26"/>
        </w:rPr>
        <w:t xml:space="preserve">- В связи с отсутствием на территории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специально оборудованных мест для купания, направлена информация в рамках приказа МЧС России от 30.09.2020 № 723 «Об утверждении Правил пользования пляжами в РФ», утверждено постановление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29.05.2024 № 394-па «О запрете купания в местах неорганизованного массового отдыха, расположенных на территории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округа»;</w:t>
      </w:r>
      <w:proofErr w:type="gramEnd"/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- Согласно выписке из Единого государственного реестра недвижимости на территории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числятся два арендатора земель </w:t>
      </w:r>
      <w:proofErr w:type="spellStart"/>
      <w:r w:rsidRPr="000D7358">
        <w:rPr>
          <w:rFonts w:ascii="Times New Roman" w:hAnsi="Times New Roman"/>
          <w:sz w:val="26"/>
          <w:szCs w:val="26"/>
        </w:rPr>
        <w:t>сельхозназначения</w:t>
      </w:r>
      <w:proofErr w:type="spellEnd"/>
      <w:r w:rsidRPr="000D7358">
        <w:rPr>
          <w:rFonts w:ascii="Times New Roman" w:hAnsi="Times New Roman"/>
          <w:sz w:val="26"/>
          <w:szCs w:val="26"/>
        </w:rPr>
        <w:t>, на землях которых расположены искусственные водоемы. Арендаторам направлены информационные письма об обязанности обеспечения мер безопасности в местах несанкционированного отдыха населения и об установке на въезде (выезде) перед водоемом, а также на береговой линии вдоль водоема запрещающих знаков (аншлагов). Знаки установлены.</w:t>
      </w:r>
    </w:p>
    <w:p w:rsidR="00001256" w:rsidRPr="000D7358" w:rsidRDefault="00001256" w:rsidP="0000125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- Схемы размещения знаков безопасности на водных объектах 22 мая 2024 года согласованны со Спасским инспекторским участком центра ГИМС Главного управления МЧС России по Приморскому краю. В период с 06 мая 2024 года по 13 </w:t>
      </w:r>
      <w:r w:rsidRPr="000D7358">
        <w:rPr>
          <w:rFonts w:ascii="Times New Roman" w:hAnsi="Times New Roman"/>
          <w:sz w:val="26"/>
          <w:szCs w:val="26"/>
        </w:rPr>
        <w:lastRenderedPageBreak/>
        <w:t xml:space="preserve">мая 2024 года проведены выездные проверки по ранее установленным запрещающим знакам (аншлагам) о запрете купания, установлены дополнительные знаки в соответствии с утвержденными схемами. На территории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округа установлено 30 запрещающих знаков (аншлагов) в несанкционированных местах традиционного отдыха и купания населения с предупреждающей информацией о запрете купания. </w:t>
      </w:r>
    </w:p>
    <w:p w:rsidR="00001256" w:rsidRPr="000D7358" w:rsidRDefault="00001256" w:rsidP="000012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Запрещающие знаки в сумме 9,3 тыс. рублей приобретены в рамках исполнения Муниципальной программы «Защита населения и территории от чрезвычайных ситуаций, обеспечение пожарной безопасности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на 2024-2030 годы».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- В целях предупреждения гибели детей на водных объектах распоряжением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23.05.2024 № 544-ра «О мерах по выявлению детей и подростков, находящихся на реках и озерах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без сопровождения взрослых» созданы рабочие группы для проведения рейдовых мероприятий для обследования мест купания на территории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округа. В связи с затяжными дождями в мае-августе 2024 года рабочими комиссиями совместно с членами Административной комиссии округа было проведено 10 рейдовых мероприятий, посещено 17 объектов запрещенных для купания с проведением профилактических бесед с населением округа, находящимся на территории водных объектов с раздачей памяток. На момент проведения рейдовых мероприятий, лиц, допустивших совершение правонарушения, предусмотренных ч. 3 ст. 3.12 Закона Приморского края от 05.03.2007 года № 44-КЗ «Об административных правонарушениях в Приморском крае», выявлено не было.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>- В социальных сетях и в газете «Сельский труженик» еженедельно размещалась информация о мерах безопасности людей на водных объектах и обязательном соблюдении правил охраны жизни людей на водных объектах, по состоянию на 1 сентября 2024 года размещено 4 статьи в газете «Сельский труженик» и 24 материала в социальных сетях.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D7358">
        <w:rPr>
          <w:rFonts w:ascii="Times New Roman" w:hAnsi="Times New Roman"/>
          <w:sz w:val="26"/>
          <w:szCs w:val="26"/>
        </w:rPr>
        <w:t xml:space="preserve">- Решением 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22.05.2024 № 12 «О готовности к отдыху населения на водных объектах в период навигации маломерных судов и купального сезона 2024 года, безопасности детей на водных объектах» подведены итоги подготовки к отдыху населения на водных объектах в период навигации маломерных судов и купального сезона 2024</w:t>
      </w:r>
      <w:proofErr w:type="gramEnd"/>
      <w:r w:rsidRPr="000D7358">
        <w:rPr>
          <w:rFonts w:ascii="Times New Roman" w:hAnsi="Times New Roman"/>
          <w:sz w:val="26"/>
          <w:szCs w:val="26"/>
        </w:rPr>
        <w:t xml:space="preserve"> года, а также безопасности детей на водных объектах.</w:t>
      </w: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D7358">
        <w:rPr>
          <w:rFonts w:ascii="Times New Roman" w:hAnsi="Times New Roman"/>
          <w:sz w:val="26"/>
          <w:szCs w:val="26"/>
        </w:rPr>
        <w:t xml:space="preserve">28 ноября 2024 года проведено заседание комиссии по предупреждению и ликвидации чрезвычайных ситуаций и обеспечению пожарной безопасности по вопросу безопасности людей на водных объектах в зимний и весенний период 2024-2025 года, принято решение № 25 «О мерах по предупреждению чрезвычайных ситуаций и обеспечению безопасности на водных объектах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в зимний период 2024-2025 года», рассмотрены вопросы обеспечения безопасности людей на</w:t>
      </w:r>
      <w:proofErr w:type="gramEnd"/>
      <w:r w:rsidRPr="000D7358">
        <w:rPr>
          <w:rFonts w:ascii="Times New Roman" w:hAnsi="Times New Roman"/>
          <w:sz w:val="26"/>
          <w:szCs w:val="26"/>
        </w:rPr>
        <w:t xml:space="preserve"> водных объектах в осенне-зимний период 2024-2025 </w:t>
      </w:r>
      <w:proofErr w:type="spellStart"/>
      <w:proofErr w:type="gramStart"/>
      <w:r w:rsidRPr="000D7358">
        <w:rPr>
          <w:rFonts w:ascii="Times New Roman" w:hAnsi="Times New Roman"/>
          <w:sz w:val="26"/>
          <w:szCs w:val="26"/>
        </w:rPr>
        <w:t>гг</w:t>
      </w:r>
      <w:proofErr w:type="spellEnd"/>
      <w:proofErr w:type="gramEnd"/>
      <w:r w:rsidRPr="000D7358">
        <w:rPr>
          <w:rFonts w:ascii="Times New Roman" w:hAnsi="Times New Roman"/>
          <w:sz w:val="26"/>
          <w:szCs w:val="26"/>
        </w:rPr>
        <w:t>, охране их жизни и здоровья.</w:t>
      </w: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Приложением № 2 к решению утверждены схемы размещения знаков безопасности на водных объектах и 29 ноября 2024 года согласованы со Спасским инспекторским участком центра ГИМС Главного управления МЧС России по Приморскому краю. На территории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округа отсутствуют ледовые </w:t>
      </w:r>
      <w:r w:rsidRPr="000D7358">
        <w:rPr>
          <w:rFonts w:ascii="Times New Roman" w:hAnsi="Times New Roman"/>
          <w:sz w:val="26"/>
          <w:szCs w:val="26"/>
        </w:rPr>
        <w:lastRenderedPageBreak/>
        <w:t xml:space="preserve">переправы и места массового выхода населения на лед. В местах возможного выезда транспорта на ледовый покров водоемов установлены баннеры с  координатами: с. </w:t>
      </w:r>
      <w:proofErr w:type="spellStart"/>
      <w:r w:rsidRPr="000D7358">
        <w:rPr>
          <w:rFonts w:ascii="Times New Roman" w:hAnsi="Times New Roman"/>
          <w:sz w:val="26"/>
          <w:szCs w:val="26"/>
        </w:rPr>
        <w:t>Бельцово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- 44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49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>53,09</w:t>
      </w:r>
      <w:proofErr w:type="gramStart"/>
      <w:r w:rsidRPr="000D7358">
        <w:rPr>
          <w:rFonts w:ascii="Times New Roman" w:hAnsi="Times New Roman"/>
          <w:sz w:val="26"/>
          <w:szCs w:val="26"/>
        </w:rPr>
        <w:t>″С</w:t>
      </w:r>
      <w:proofErr w:type="gramEnd"/>
      <w:r w:rsidRPr="000D7358">
        <w:rPr>
          <w:rFonts w:ascii="Times New Roman" w:hAnsi="Times New Roman"/>
          <w:sz w:val="26"/>
          <w:szCs w:val="26"/>
        </w:rPr>
        <w:t>; 133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34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>49,24″В; с. Орлиное 44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45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>35,02″ С; 133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38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>34,09″В; мост с. Покровка - с. Яковлевка 44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26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>09,76″С; 133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31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 xml:space="preserve">37,27″В; мост с. </w:t>
      </w:r>
      <w:proofErr w:type="spellStart"/>
      <w:r w:rsidRPr="000D7358">
        <w:rPr>
          <w:rFonts w:ascii="Times New Roman" w:hAnsi="Times New Roman"/>
          <w:sz w:val="26"/>
          <w:szCs w:val="26"/>
        </w:rPr>
        <w:t>Лазаревка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- ст. Варфоломеевка 44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20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>01,05″С;  133</w:t>
      </w:r>
      <w:r w:rsidRPr="000D7358">
        <w:rPr>
          <w:rFonts w:ascii="Times New Roman" w:hAnsi="Times New Roman"/>
          <w:sz w:val="26"/>
          <w:szCs w:val="26"/>
          <w:vertAlign w:val="superscript"/>
        </w:rPr>
        <w:t>0</w:t>
      </w:r>
      <w:r w:rsidRPr="000D7358">
        <w:rPr>
          <w:rFonts w:ascii="Times New Roman" w:hAnsi="Times New Roman"/>
          <w:sz w:val="26"/>
          <w:szCs w:val="26"/>
        </w:rPr>
        <w:t>25</w:t>
      </w:r>
      <w:r w:rsidRPr="000D7358">
        <w:rPr>
          <w:rFonts w:ascii="Times New Roman" w:hAnsi="Times New Roman"/>
          <w:sz w:val="26"/>
          <w:szCs w:val="26"/>
          <w:vertAlign w:val="superscript"/>
        </w:rPr>
        <w:t>′</w:t>
      </w:r>
      <w:r w:rsidRPr="000D7358">
        <w:rPr>
          <w:rFonts w:ascii="Times New Roman" w:hAnsi="Times New Roman"/>
          <w:sz w:val="26"/>
          <w:szCs w:val="26"/>
        </w:rPr>
        <w:t>03,38″В.</w:t>
      </w: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D7358">
        <w:rPr>
          <w:rFonts w:ascii="Times New Roman" w:hAnsi="Times New Roman"/>
          <w:sz w:val="26"/>
          <w:szCs w:val="26"/>
        </w:rPr>
        <w:t xml:space="preserve">В соответствии с п. 5.1. решения комиссии КЧС и ОПБ при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28.11.2024 года № 25 «О мерах по предупреждению чрезвычайных ситуаций и обеспечению безопасности на водных объектах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в зимний период 2024-2025 года» утверждено постановление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28.11.2024 № 816-па «О мерах по предупреждению чрезвычайных ситуаций и обеспечению безопасности на водных объектах</w:t>
      </w:r>
      <w:proofErr w:type="gramEnd"/>
      <w:r w:rsidRPr="000D73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в осенне-зимний и весенний периоды 2024-2025 г», запрещен выезд транспортных средств и выход рыбаков-любителей и отдыхающих на лед с начала ледостава по 30.12.2024 года и с 01.03.2025 по 30.03.2025 года. В социальных сетях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округа и в районной газете «Сельский труженик» размещена информация о данном решении.</w:t>
      </w: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proofErr w:type="gramStart"/>
      <w:r w:rsidRPr="000D7358">
        <w:rPr>
          <w:rFonts w:ascii="Times New Roman" w:hAnsi="Times New Roman"/>
          <w:sz w:val="26"/>
          <w:szCs w:val="26"/>
        </w:rPr>
        <w:t xml:space="preserve">В соответствии с п.7 решения комиссии КЧС и ОПБ при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28.11.2024 года № 25 «О мерах по предупреждению чрезвычайных ситуаций и обеспечению безопасности на водных объектах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в зимний период 2024-2025 года»  и распоряжением Администрации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от 16.12.2024 года № 1257-ра «О мерах по обеспечению безопасности на водных объектах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</w:t>
      </w:r>
      <w:proofErr w:type="gramEnd"/>
      <w:r w:rsidRPr="000D7358">
        <w:rPr>
          <w:rFonts w:ascii="Times New Roman" w:hAnsi="Times New Roman"/>
          <w:sz w:val="26"/>
          <w:szCs w:val="26"/>
        </w:rPr>
        <w:t xml:space="preserve">» в течение всего зимнего периода отделом полиции совместно с членами административной комиссии организовано патрулирование по выявлению мест выхода и выезда автотранспорта на лед. Рабочими группами проведено семь выездных мероприятий на водные объекты, составлено и передано на рассмотрение в Административную комиссию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три материала, вынесено три предупреждения. </w:t>
      </w: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7358">
        <w:rPr>
          <w:rFonts w:ascii="Times New Roman" w:hAnsi="Times New Roman"/>
          <w:sz w:val="26"/>
          <w:szCs w:val="26"/>
        </w:rPr>
        <w:t xml:space="preserve">В 2025 году проведение мероприятий по выявлению правонарушений на водных объектах </w:t>
      </w:r>
      <w:proofErr w:type="spellStart"/>
      <w:r w:rsidRPr="000D7358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0D7358">
        <w:rPr>
          <w:rFonts w:ascii="Times New Roman" w:hAnsi="Times New Roman"/>
          <w:sz w:val="26"/>
          <w:szCs w:val="26"/>
        </w:rPr>
        <w:t xml:space="preserve"> муниципального округа запланированы на период запрета выезд транспортных средств и выход рыбаков-любителей и отдыхающих на лед с 01.03.2025 по 30.03.2025 года. Размещение материалов о мерах безопасности на льду, обязательном соблюдении правил охраны жизни людей на водных объектах организовано в течение всего зимнего периода.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14 апреля 2025 года проведено заседание комиссии по предупреждению и ликвидации чрезвычайных ситуаций и обеспечению пожарной безопасности при Администрации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округа, решением 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14.04.2025 года № 08 «О мерах по  предупреждению чрезвычайных ситуаций в местах отдыха населения на водных объектах в период навигации маломерных судов</w:t>
      </w:r>
      <w:proofErr w:type="gram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и купального сезона 2025 года, безопасности детей на водных объектах» утверждены мероприятия обеспечения безопасности людей на водных объектах, охране их жизни и здоровья, информация доведена до населения округа через средства массовой информации. 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Решением Думы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15 апреля 2025 года № 503-НПА утверждены Правила использования водных объектов для рекреационных целей на территории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В связи с отсутствием на территории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специально оборудованных мест для купания утверждено постановление Администрации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29.05.2024 года № 394-па «О запрете купания в местах неорганизованного массового отдыха, расположенных на территории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округа»;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Утверждены схемы размещения знаков безопасности на водных объектах и 05 мая 2025 года согласованны со Спасским инспекторским участком центра ГИМС Главного управления МЧС России по Приморскому краю. В период с 14 апреля 2025 года по 20 апреля 2025 года проведены выездные проверки ранее установленных запрещающих знаков (аншлагов) о запрете купания, в местах отсутствия запрещающих знаков установлены дополнительные знаки в соответствии с утвержденными схемами. На территории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установлено 30 запрещающих знаков (аншлагов) в несанкционированных местах традиционного отдыха и купания населения с предупреждающей информацией о запрете купания. 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При выявлении лиц, допустивших совершение правонарушений, предусмотренных ч. 3 ст. 3.12 Закона Приморского края от 05.03.2007 года № 44-КЗ «Об административных правонарушениях в Приморском крае» материалы будут переданы для дальнейшего рассмотрения в Административную комиссию округа.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предупреждения гибели детей на водных объектах распоряжением Администрации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от 14 мая 2025 года № 473-ра «О мерах по выявлению детей и подростков, находящихся на реках и озерах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без сопровождения взрослых» созданы рабочие группы с привлечением представителей комиссий по делам несовершеннолетних для проведения рейдовых мероприятий для обследования мест купания на территории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proofErr w:type="gram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. Начало рейдовых мероприятий запланировано с 23 мая 2025 года. В ходе рейдовых мероприятий на р. Варфоломеевка в месте, не предназначенном для купания, были обнаружены несовершеннолетние девочки, которые ушли купаться без разрешения родителей. Составлен административный протокол.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</w:t>
      </w:r>
      <w:proofErr w:type="gram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проведения пропаганды безопасного нахождения населения округа</w:t>
      </w:r>
      <w:proofErr w:type="gram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отдыхе у воды в социальных сетях и в газете «Сельский труженик» запланировано еженедельное размещение информация о мерах безопасности людей на водных объектах и обязательном соблюдении правил охраны жизни людей на водных объектах на весь летний период.</w:t>
      </w:r>
    </w:p>
    <w:p w:rsidR="00001256" w:rsidRPr="000D7358" w:rsidRDefault="00001256" w:rsidP="000012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выписке из Единого государственного реестра недвижимости на территории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Яковлевского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числится один арендатор земель </w:t>
      </w:r>
      <w:proofErr w:type="spellStart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сельхозназначения</w:t>
      </w:r>
      <w:proofErr w:type="spell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>, на землях которого расположен искусственный водоем. 15 мая 2025 года арендатору направлено информационное письмо об обязанности обеспечения мер безопасности в местах несанкционированного отдыха населения и об установке на въезде (выезде) перед водоемом, а также на береговой линии вдоль водоема запрещающих знаков (аншлагов).</w:t>
      </w:r>
      <w:proofErr w:type="gramEnd"/>
      <w:r w:rsidRPr="000D7358">
        <w:rPr>
          <w:rFonts w:ascii="Times New Roman" w:eastAsia="Times New Roman" w:hAnsi="Times New Roman"/>
          <w:sz w:val="26"/>
          <w:szCs w:val="26"/>
          <w:lang w:eastAsia="ru-RU"/>
        </w:rPr>
        <w:t xml:space="preserve"> Знаки установлены.</w:t>
      </w:r>
    </w:p>
    <w:p w:rsidR="00001256" w:rsidRPr="000D7358" w:rsidRDefault="00001256" w:rsidP="00001256">
      <w:pPr>
        <w:pStyle w:val="a3"/>
        <w:ind w:firstLine="709"/>
        <w:jc w:val="both"/>
        <w:rPr>
          <w:rFonts w:ascii="Times New Roman" w:hAnsi="Times New Roman"/>
          <w:b/>
          <w:color w:val="7030A0"/>
          <w:sz w:val="24"/>
          <w:szCs w:val="24"/>
          <w:u w:val="single"/>
        </w:rPr>
      </w:pPr>
    </w:p>
    <w:p w:rsidR="00001256" w:rsidRDefault="00001256" w:rsidP="00001256"/>
    <w:p w:rsidR="00925D60" w:rsidRDefault="00925D60"/>
    <w:sectPr w:rsidR="009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56"/>
    <w:rsid w:val="00001256"/>
    <w:rsid w:val="009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2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0125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00125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0125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2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0125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00125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0125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2025-06-24T05:54:00Z</dcterms:created>
  <dcterms:modified xsi:type="dcterms:W3CDTF">2025-06-24T05:54:00Z</dcterms:modified>
</cp:coreProperties>
</file>