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CF0F7" w14:textId="77777777" w:rsidR="001B41CA" w:rsidRDefault="001B41CA">
      <w:pPr>
        <w:widowControl w:val="0"/>
        <w:jc w:val="center"/>
        <w:rPr>
          <w:sz w:val="28"/>
          <w:szCs w:val="28"/>
        </w:rPr>
      </w:pPr>
    </w:p>
    <w:p w14:paraId="0B44F2F9" w14:textId="77777777" w:rsidR="001B41CA" w:rsidRDefault="001B41CA">
      <w:pPr>
        <w:widowControl w:val="0"/>
        <w:jc w:val="center"/>
        <w:rPr>
          <w:sz w:val="28"/>
          <w:szCs w:val="28"/>
        </w:rPr>
      </w:pPr>
    </w:p>
    <w:p w14:paraId="6F29F99F" w14:textId="77777777" w:rsidR="001B41CA" w:rsidRDefault="00284E7B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С целью развития проекта «Единая карта жителя Приморского края» м</w:t>
      </w:r>
      <w:r>
        <w:rPr>
          <w:sz w:val="28"/>
          <w:szCs w:val="28"/>
          <w:lang w:eastAsia="zh-CN"/>
        </w:rPr>
        <w:t xml:space="preserve">инистерство промышленности и торговли Приморского края (далее- министерство) сообщает о необходимости </w:t>
      </w:r>
      <w:r>
        <w:rPr>
          <w:sz w:val="28"/>
          <w:szCs w:val="28"/>
        </w:rPr>
        <w:t>обеспечить подключение торговых предприятий к платформе лояльности и стать партнером АО Национальная система платежных карт (далее - АО НСПК) для держател</w:t>
      </w:r>
      <w:r>
        <w:rPr>
          <w:sz w:val="28"/>
          <w:szCs w:val="28"/>
        </w:rPr>
        <w:t>ей карты «Мир».</w:t>
      </w:r>
    </w:p>
    <w:p w14:paraId="385A3E51" w14:textId="77777777" w:rsidR="001B41CA" w:rsidRDefault="00284E7B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Это позволит наполнить платформу льготными сервисами, которые позволят жителям региона получать массовые персонализированные предложения в разных категориях торговых предприятий, иметь прямую финансовую выгоду - кешбэк в рублях на свою карт</w:t>
      </w:r>
      <w:r>
        <w:rPr>
          <w:sz w:val="28"/>
          <w:szCs w:val="28"/>
        </w:rPr>
        <w:t>у «Мир». Партнеру иметь гибкий инструмент взаимодействия с существующими и новыми клиентами: выплачивать жителю кешбэк при условии выполнения целей, поставленных партнером. Например, увеличение оборота или среднего чека (кешбэк за покупки от определенной с</w:t>
      </w:r>
      <w:r>
        <w:rPr>
          <w:sz w:val="28"/>
          <w:szCs w:val="28"/>
        </w:rPr>
        <w:t>уммы чека), привлечение новых клиентов или снижения оттока клиентов (кешбэк на любую покупку, кешбэк на первую покупку), увеличение регулярности покупок (кешбэк за каждую вторую покупку с разным процентом (10% на первую, 5% на вторую и т. п.). Личный кабин</w:t>
      </w:r>
      <w:r>
        <w:rPr>
          <w:sz w:val="28"/>
          <w:szCs w:val="28"/>
        </w:rPr>
        <w:t xml:space="preserve">ет партнера позволяет самостоятельно подключаться к программе лояльности и подключать акции. </w:t>
      </w:r>
    </w:p>
    <w:p w14:paraId="50B49BCA" w14:textId="77777777" w:rsidR="001B41CA" w:rsidRDefault="00284E7B">
      <w:pPr>
        <w:tabs>
          <w:tab w:val="left" w:pos="567"/>
        </w:tabs>
        <w:spacing w:line="360" w:lineRule="auto"/>
        <w:ind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Дополнительно сообщаем, что торговое предприятие подключается к платформе АО НСПК самостоятел</w:t>
      </w:r>
      <w:r>
        <w:rPr>
          <w:sz w:val="28"/>
          <w:szCs w:val="28"/>
        </w:rPr>
        <w:t>ьно согласно Памятки.</w:t>
      </w:r>
    </w:p>
    <w:p w14:paraId="3BC96229" w14:textId="77777777" w:rsidR="001B41CA" w:rsidRDefault="00284E7B">
      <w:pPr>
        <w:tabs>
          <w:tab w:val="left" w:pos="567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В случае возникновения вопросов просим обращаться по телефону 8(423)2215804.</w:t>
      </w:r>
    </w:p>
    <w:p w14:paraId="37C78733" w14:textId="77777777" w:rsidR="001B41CA" w:rsidRDefault="001B41CA">
      <w:pPr>
        <w:tabs>
          <w:tab w:val="left" w:pos="567"/>
        </w:tabs>
        <w:spacing w:line="360" w:lineRule="auto"/>
        <w:ind w:firstLine="709"/>
        <w:contextualSpacing/>
        <w:jc w:val="both"/>
        <w:rPr>
          <w:sz w:val="28"/>
          <w:szCs w:val="28"/>
          <w:lang w:eastAsia="zh-CN"/>
        </w:rPr>
      </w:pPr>
    </w:p>
    <w:p w14:paraId="7C9A943A" w14:textId="77777777" w:rsidR="001B41CA" w:rsidRDefault="00284E7B">
      <w:pPr>
        <w:tabs>
          <w:tab w:val="left" w:pos="567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</w:p>
    <w:p w14:paraId="51357A11" w14:textId="77777777" w:rsidR="001B41CA" w:rsidRDefault="00284E7B">
      <w:pPr>
        <w:tabs>
          <w:tab w:val="left" w:pos="567"/>
        </w:tabs>
        <w:spacing w:line="276" w:lineRule="auto"/>
        <w:ind w:firstLine="652"/>
        <w:contextualSpacing/>
        <w:jc w:val="both"/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Презентация программы лояльности АО «НСПК» </w:t>
      </w:r>
      <w:r>
        <w:rPr>
          <w:sz w:val="28"/>
          <w:szCs w:val="28"/>
          <w:lang w:eastAsia="zh-CN"/>
        </w:rPr>
        <w:t>- на 12л. в 1 экз.</w:t>
      </w:r>
    </w:p>
    <w:p w14:paraId="0B98C7E7" w14:textId="77777777" w:rsidR="001B41CA" w:rsidRDefault="00284E7B">
      <w:pPr>
        <w:tabs>
          <w:tab w:val="left" w:pos="567"/>
        </w:tabs>
        <w:spacing w:line="276" w:lineRule="auto"/>
        <w:ind w:firstLine="652"/>
        <w:contextualSpacing/>
        <w:jc w:val="both"/>
      </w:pPr>
      <w:r>
        <w:rPr>
          <w:sz w:val="28"/>
          <w:szCs w:val="28"/>
          <w:lang w:eastAsia="zh-CN"/>
        </w:rPr>
        <w:t>2. Презентация НСПК по льготным сервисам на 11л. в 1 экз.</w:t>
      </w:r>
    </w:p>
    <w:p w14:paraId="7F39A7B4" w14:textId="7C78B116" w:rsidR="001B41CA" w:rsidRDefault="00284E7B">
      <w:pPr>
        <w:tabs>
          <w:tab w:val="left" w:pos="567"/>
        </w:tabs>
        <w:spacing w:line="276" w:lineRule="auto"/>
        <w:ind w:firstLine="652"/>
        <w:contextualSpacing/>
        <w:jc w:val="both"/>
      </w:pPr>
      <w:r>
        <w:rPr>
          <w:sz w:val="28"/>
          <w:szCs w:val="28"/>
          <w:lang w:eastAsia="zh-CN"/>
        </w:rPr>
        <w:t xml:space="preserve">3. Памятка по </w:t>
      </w:r>
      <w:r>
        <w:rPr>
          <w:sz w:val="28"/>
          <w:szCs w:val="28"/>
          <w:lang w:eastAsia="zh-CN"/>
        </w:rPr>
        <w:t>регистрации партнеров в программе лояльности -</w:t>
      </w:r>
      <w:bookmarkStart w:id="0" w:name="_GoBack"/>
      <w:bookmarkEnd w:id="0"/>
      <w:r>
        <w:rPr>
          <w:sz w:val="28"/>
          <w:szCs w:val="28"/>
          <w:lang w:eastAsia="zh-CN"/>
        </w:rPr>
        <w:t xml:space="preserve"> на 1л. в 1экз.</w:t>
      </w:r>
    </w:p>
    <w:p w14:paraId="61E3ACD5" w14:textId="77777777" w:rsidR="001B41CA" w:rsidRDefault="001B41CA">
      <w:pPr>
        <w:tabs>
          <w:tab w:val="left" w:pos="735"/>
        </w:tabs>
        <w:spacing w:line="360" w:lineRule="auto"/>
        <w:ind w:firstLine="652"/>
        <w:jc w:val="both"/>
        <w:rPr>
          <w:sz w:val="28"/>
        </w:rPr>
      </w:pPr>
    </w:p>
    <w:p w14:paraId="766A5EBD" w14:textId="77777777" w:rsidR="001B41CA" w:rsidRDefault="001B41CA">
      <w:pPr>
        <w:tabs>
          <w:tab w:val="left" w:pos="735"/>
        </w:tabs>
        <w:spacing w:line="360" w:lineRule="auto"/>
        <w:ind w:firstLine="652"/>
        <w:jc w:val="both"/>
        <w:rPr>
          <w:sz w:val="28"/>
        </w:rPr>
      </w:pPr>
    </w:p>
    <w:p w14:paraId="69C1600F" w14:textId="77777777" w:rsidR="001B41CA" w:rsidRDefault="001B41CA">
      <w:pPr>
        <w:tabs>
          <w:tab w:val="left" w:pos="735"/>
        </w:tabs>
        <w:spacing w:line="360" w:lineRule="auto"/>
        <w:ind w:firstLine="652"/>
        <w:jc w:val="both"/>
        <w:rPr>
          <w:sz w:val="28"/>
        </w:rPr>
      </w:pPr>
    </w:p>
    <w:p w14:paraId="58114C9F" w14:textId="77777777" w:rsidR="001B41CA" w:rsidRDefault="001B41CA">
      <w:pPr>
        <w:jc w:val="both"/>
        <w:rPr>
          <w:sz w:val="18"/>
        </w:rPr>
      </w:pPr>
    </w:p>
    <w:sectPr w:rsidR="001B41CA">
      <w:pgSz w:w="11906" w:h="16838"/>
      <w:pgMar w:top="390" w:right="851" w:bottom="626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PT Astra Serif">
    <w:altName w:val="Arial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4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1CA"/>
    <w:rsid w:val="001B41CA"/>
    <w:rsid w:val="0028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A016"/>
  <w15:docId w15:val="{0FAF0F6E-B24D-43BA-9D78-38979DB6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uiPriority w:val="9"/>
    <w:qFormat/>
    <w:pPr>
      <w:keepNext/>
      <w:jc w:val="center"/>
      <w:outlineLvl w:val="1"/>
    </w:pPr>
    <w:rPr>
      <w:b/>
      <w:spacing w:val="40"/>
      <w:sz w:val="26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20">
    <w:name w:val="Заголовок 2 Знак"/>
    <w:uiPriority w:val="9"/>
    <w:qFormat/>
    <w:rPr>
      <w:rFonts w:ascii="Times New Roman" w:eastAsia="Times New Roman" w:hAnsi="Times New Roman" w:cs="Times New Roman"/>
      <w:b/>
      <w:spacing w:val="40"/>
      <w:sz w:val="26"/>
      <w:szCs w:val="24"/>
      <w:lang w:eastAsia="ru-RU"/>
    </w:rPr>
  </w:style>
  <w:style w:type="character" w:customStyle="1" w:styleId="a7">
    <w:name w:val="Верхний колонтитул Знак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uiPriority w:val="9"/>
    <w:qFormat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aa">
    <w:name w:val="Посещённая гиперссылка"/>
    <w:rPr>
      <w:color w:val="800000"/>
      <w:u w:val="single"/>
    </w:rPr>
  </w:style>
  <w:style w:type="paragraph" w:styleId="ab">
    <w:name w:val="Title"/>
    <w:basedOn w:val="a"/>
    <w:next w:val="ac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f">
    <w:name w:val="index heading"/>
    <w:basedOn w:val="ab"/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styleId="af1">
    <w:name w:val="No Spacing"/>
    <w:uiPriority w:val="1"/>
    <w:qFormat/>
  </w:style>
  <w:style w:type="paragraph" w:styleId="af2">
    <w:name w:val="Subtitle"/>
    <w:basedOn w:val="a"/>
    <w:uiPriority w:val="11"/>
    <w:qFormat/>
    <w:pPr>
      <w:spacing w:before="200" w:after="200"/>
    </w:p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4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5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</w:style>
  <w:style w:type="paragraph" w:styleId="af7">
    <w:name w:val="table of figures"/>
    <w:basedOn w:val="a"/>
    <w:uiPriority w:val="99"/>
    <w:unhideWhenUsed/>
    <w:qFormat/>
  </w:style>
  <w:style w:type="paragraph" w:customStyle="1" w:styleId="af8">
    <w:name w:val="Верхний и нижний колонтитулы"/>
    <w:basedOn w:val="a"/>
    <w:qFormat/>
  </w:style>
  <w:style w:type="paragraph" w:customStyle="1" w:styleId="af9">
    <w:name w:val="Колонтитул"/>
    <w:basedOn w:val="a"/>
    <w:qFormat/>
  </w:style>
  <w:style w:type="paragraph" w:styleId="afa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b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c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paragraph" w:customStyle="1" w:styleId="ConsPlusTitle">
    <w:name w:val="ConsPlusTitle"/>
    <w:qFormat/>
    <w:rPr>
      <w:rFonts w:ascii="Arial" w:eastAsia="Times New Roman" w:hAnsi="Arial" w:cs="Arial"/>
      <w:b/>
      <w:bCs/>
      <w:sz w:val="24"/>
    </w:rPr>
  </w:style>
  <w:style w:type="paragraph" w:customStyle="1" w:styleId="12">
    <w:name w:val="Обычный1"/>
    <w:qFormat/>
    <w:rPr>
      <w:rFonts w:ascii="Times New Roman" w:eastAsia="Times New Roman" w:hAnsi="Times New Roman"/>
      <w:sz w:val="26"/>
      <w:lang w:eastAsia="zh-CN"/>
    </w:rPr>
  </w:style>
  <w:style w:type="paragraph" w:styleId="aff">
    <w:name w:val="Body Text Indent"/>
    <w:qFormat/>
    <w:pPr>
      <w:widowControl w:val="0"/>
      <w:jc w:val="both"/>
    </w:pPr>
    <w:rPr>
      <w:rFonts w:ascii="PT Astra Serif" w:eastAsia="Source Han Sans CN Regular" w:hAnsi="PT Astra Serif" w:cs="Lohit Devanagari"/>
      <w:sz w:val="28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52AAF95-F01F-49EA-A7BF-8D5F1952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Ольга Владимировна</dc:creator>
  <dc:description/>
  <cp:lastModifiedBy>user</cp:lastModifiedBy>
  <cp:revision>75</cp:revision>
  <cp:lastPrinted>2024-06-27T09:06:00Z</cp:lastPrinted>
  <dcterms:created xsi:type="dcterms:W3CDTF">2019-10-25T04:29:00Z</dcterms:created>
  <dcterms:modified xsi:type="dcterms:W3CDTF">2024-08-15T01:49:00Z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