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rFonts w:ascii="Times New Roman" w:hAnsi="Times New Roman"/>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b/>
          <w:bCs/>
        </w:rPr>
      </w:pPr>
      <w:r>
        <w:rPr>
          <w:rFonts w:ascii="Times New Roman" w:hAnsi="Times New Roman"/>
          <w:b/>
          <w:bCs/>
          <w:sz w:val="28"/>
          <w:szCs w:val="28"/>
        </w:rPr>
        <w:t>в 2024 году (за отчетный 2023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tabs>
          <w:tab w:val="clear" w:pos="709"/>
          <w:tab w:val="left" w:pos="426" w:leader="none"/>
        </w:tabs>
        <w:ind w:left="0" w:hanging="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Представление сведений о доходах, расходах,</w:t>
      </w:r>
    </w:p>
    <w:p>
      <w:pPr>
        <w:pStyle w:val="ListParagraph"/>
        <w:ind w:left="0" w:hanging="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pPr>
        <w:pStyle w:val="ListParagraph"/>
        <w:numPr>
          <w:ilvl w:val="0"/>
          <w:numId w:val="2"/>
        </w:numPr>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pPr>
        <w:pStyle w:val="ListParagraph"/>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В случае, если в течение отчетного периода такие сделки не совершались:</w:t>
      </w:r>
    </w:p>
    <w:p>
      <w:pPr>
        <w:pStyle w:val="ListParagraph"/>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ListParagraph"/>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rFonts w:ascii="Times New Roman" w:hAnsi="Times New Roman"/>
          <w:sz w:val="28"/>
          <w:szCs w:val="28"/>
        </w:rPr>
        <w:t>(</w:t>
      </w:r>
      <w:hyperlink r:id="rId3">
        <w:r>
          <w:rPr>
            <w:rStyle w:val="-"/>
            <w:rFonts w:ascii="Times New Roman" w:hAnsi="Times New Roman"/>
            <w:sz w:val="28"/>
            <w:szCs w:val="28"/>
          </w:rPr>
          <w:t>https://mintrud.gov.ru/ministry/programms/anticorruption/9/instruktivno-metodicheskie-materialy-po-fz</w:t>
        </w:r>
      </w:hyperlink>
      <w:hyperlink r:id="rId4">
        <w:r>
          <w:rPr>
            <w:rFonts w:ascii="Times New Roman" w:hAnsi="Times New Roman"/>
            <w:sz w:val="28"/>
            <w:szCs w:val="28"/>
          </w:rPr>
          <w:t>) .</w:t>
        </w:r>
      </w:hyperlink>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5"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6"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7"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8"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9"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Государственный гражданский служащий</w:t>
      </w:r>
      <w:r>
        <w:rPr>
          <w:rFonts w:ascii="Times New Roman" w:hAnsi="Times New Roman"/>
          <w:sz w:val="28"/>
        </w:rPr>
        <w:t xml:space="preserve"> Российской Федерации</w:t>
      </w:r>
      <w:r>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Pr>
          <w:rFonts w:ascii="Times New Roman" w:hAnsi="Times New Roman"/>
          <w:sz w:val="28"/>
        </w:rPr>
        <w:t xml:space="preserve"> Российской Федерации (далее – федеральный кадровый резерв)</w:t>
      </w:r>
      <w:r>
        <w:rPr>
          <w:rFonts w:ascii="Times New Roman" w:hAnsi="Times New Roman"/>
          <w:sz w:val="28"/>
          <w:szCs w:val="28"/>
        </w:rPr>
        <w:t xml:space="preserve">,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br/>
        <w:t>№ 61).</w:t>
      </w:r>
    </w:p>
    <w:p>
      <w:pPr>
        <w:pStyle w:val="ListParagraph"/>
        <w:tabs>
          <w:tab w:val="clear" w:pos="709"/>
          <w:tab w:val="left" w:pos="1134" w:leader="none"/>
        </w:tabs>
        <w:ind w:left="0" w:firstLine="567"/>
        <w:rPr>
          <w:rFonts w:ascii="Times New Roman" w:hAnsi="Times New Roman"/>
          <w:color w:val="000000"/>
          <w:sz w:val="28"/>
          <w:szCs w:val="28"/>
        </w:rPr>
      </w:pPr>
      <w:r>
        <w:rPr>
          <w:rFonts w:ascii="Times New Roman" w:hAnsi="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pPr>
        <w:pStyle w:val="Normal"/>
        <w:tabs>
          <w:tab w:val="clear" w:pos="709"/>
          <w:tab w:val="left" w:pos="1843" w:leader="none"/>
        </w:tabs>
        <w:spacing w:lineRule="exact" w:line="360"/>
        <w:ind w:firstLine="567"/>
        <w:rPr>
          <w:rFonts w:ascii="Times New Roman" w:hAnsi="Times New Roman"/>
          <w:sz w:val="28"/>
          <w:szCs w:val="28"/>
        </w:rPr>
      </w:pPr>
      <w:r>
        <w:rPr>
          <w:rFonts w:ascii="Times New Roman" w:hAnsi="Times New Roman"/>
          <w:color w:val="000000"/>
          <w:sz w:val="28"/>
          <w:szCs w:val="28"/>
        </w:rPr>
        <w:t xml:space="preserve">При выборе отчетного периода необходимо исходить из того, что </w:t>
      </w:r>
      <w:r>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szCs w:val="28"/>
        </w:rPr>
        <w:t xml:space="preserve">пункт 4 Положения </w:t>
      </w:r>
      <w:r>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pPr>
        <w:pStyle w:val="Normal"/>
        <w:tabs>
          <w:tab w:val="clear" w:pos="709"/>
          <w:tab w:val="left" w:pos="1843" w:leader="none"/>
        </w:tabs>
        <w:spacing w:lineRule="exact" w:line="360"/>
        <w:rPr>
          <w:rFonts w:ascii="Times New Roman" w:hAnsi="Times New Roman"/>
          <w:sz w:val="28"/>
          <w:szCs w:val="28"/>
        </w:rPr>
      </w:pPr>
      <w:r>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r>
    </w:p>
    <w:p>
      <w:pPr>
        <w:pStyle w:val="Normal"/>
        <w:tabs>
          <w:tab w:val="clear" w:pos="709"/>
          <w:tab w:val="left" w:pos="1134" w:leader="none"/>
        </w:tabs>
        <w:ind w:firstLine="567"/>
        <w:rPr>
          <w:rFonts w:ascii="Times New Roman" w:hAnsi="Times New Roman"/>
          <w:sz w:val="28"/>
          <w:szCs w:val="28"/>
        </w:rPr>
      </w:pPr>
      <w:r>
        <w:rPr>
          <w:rFonts w:ascii="Times New Roman" w:hAnsi="Times New Roman"/>
          <w:b/>
          <w:sz w:val="28"/>
          <w:szCs w:val="28"/>
        </w:rPr>
        <w:t xml:space="preserve">Обязательность представления Сведений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pPr>
        <w:pStyle w:val="Normal"/>
        <w:tabs>
          <w:tab w:val="clear" w:pos="709"/>
          <w:tab w:val="left" w:pos="1134" w:leader="none"/>
        </w:tabs>
        <w:ind w:firstLine="567"/>
        <w:rPr>
          <w:rFonts w:ascii="Times New Roman" w:hAnsi="Times New Roman"/>
          <w:sz w:val="28"/>
          <w:szCs w:val="28"/>
          <w:highlight w:val="yellow"/>
        </w:rPr>
      </w:pPr>
      <w:r>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pPr>
        <w:pStyle w:val="ListParagraph"/>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1">
        <w:r>
          <w:rPr>
            <w:rStyle w:val="-"/>
            <w:rFonts w:ascii="Times New Roman" w:hAnsi="Times New Roman"/>
            <w:sz w:val="28"/>
            <w:szCs w:val="28"/>
          </w:rPr>
          <w:t>https://mintrud.gov.ru/ministry/programms/anticorruption/9/23</w:t>
        </w:r>
      </w:hyperlink>
      <w:r>
        <w:rPr>
          <w:rFonts w:ascii="Times New Roman" w:hAnsi="Times New Roman"/>
          <w:sz w:val="28"/>
          <w:szCs w:val="28"/>
        </w:rPr>
        <w:t>).</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2">
        <w:r>
          <w:rPr>
            <w:rStyle w:val="-"/>
            <w:rFonts w:ascii="Times New Roman" w:hAnsi="Times New Roman"/>
            <w:sz w:val="28"/>
            <w:szCs w:val="28"/>
          </w:rPr>
          <w:t>https://mintrud.gov.ru/ministry/programms/anticorruption/9/23</w:t>
        </w:r>
      </w:hyperlink>
      <w:r>
        <w:rPr>
          <w:rFonts w:ascii="Times New Roman" w:hAnsi="Times New Roman"/>
          <w:sz w:val="28"/>
          <w:szCs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993" w:leader="none"/>
          <w:tab w:val="left" w:pos="1134" w:leader="none"/>
        </w:tabs>
        <w:ind w:left="0" w:firstLine="567"/>
        <w:rPr>
          <w:rFonts w:ascii="Times New Roman" w:hAnsi="Times New Roman"/>
          <w:sz w:val="28"/>
          <w:szCs w:val="28"/>
        </w:rPr>
      </w:pPr>
      <w:bookmarkStart w:id="0" w:name="_Hlk153818148"/>
      <w:r>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2024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3117"/>
        <w:gridCol w:w="7230"/>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2024 году </w:t>
              <w:br/>
              <w:t>(за отчетный 2023 год)</w:t>
            </w:r>
          </w:p>
        </w:tc>
      </w:tr>
      <w:tr>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2023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2024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val="660" w:hRule="atLeast"/>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2024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trPr>
          <w:trHeight w:val="131" w:hRule="atLeast"/>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2024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3145"/>
        <w:gridCol w:w="7202"/>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2023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2024 года </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2024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2024 года </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pPr>
        <w:pStyle w:val="Normal"/>
        <w:ind w:firstLine="567"/>
        <w:rPr>
          <w:rFonts w:ascii="Times New Roman" w:hAnsi="Times New Roman"/>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3">
        <w:r>
          <w:rPr>
            <w:rStyle w:val="-"/>
            <w:rFonts w:ascii="Times New Roman" w:hAnsi="Times New Roman"/>
            <w:sz w:val="28"/>
            <w:szCs w:val="28"/>
          </w:rPr>
          <w:t>https://mintrud.gov.ru/ministry/programms/anticorruption/9/23</w:t>
        </w:r>
      </w:hyperlink>
      <w:r>
        <w:rPr>
          <w:rFonts w:ascii="Times New Roman" w:hAnsi="Times New Roman"/>
          <w:sz w:val="28"/>
          <w:szCs w:val="28"/>
        </w:rPr>
        <w:t>).</w:t>
      </w:r>
    </w:p>
    <w:p>
      <w:pPr>
        <w:pStyle w:val="ListParagraph"/>
        <w:ind w:left="0" w:firstLine="567"/>
        <w:rPr>
          <w:rFonts w:ascii="Times New Roman" w:hAnsi="Times New Roman"/>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3117"/>
        <w:gridCol w:w="7230"/>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по объективным причинам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4">
        <w:r>
          <w:rPr>
            <w:rStyle w:val="-"/>
            <w:rFonts w:ascii="Times New Roman" w:hAnsi="Times New Roman"/>
            <w:sz w:val="28"/>
            <w:szCs w:val="28"/>
          </w:rPr>
          <w:t>https://mintrud.gov.ru/ministry/programms/anticorruption/9/24</w:t>
        </w:r>
      </w:hyperlink>
      <w:r>
        <w:rPr>
          <w:rFonts w:ascii="Times New Roman" w:hAnsi="Times New Roman"/>
          <w:sz w:val="28"/>
          <w:szCs w:val="28"/>
        </w:rPr>
        <w:t xml:space="preserve">).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w:t>
      </w:r>
      <w:r>
        <w:rPr>
          <w:rFonts w:ascii="Times New Roman" w:hAnsi="Times New Roman"/>
          <w:sz w:val="28"/>
        </w:rPr>
        <w:t>на непостоянной основе</w:t>
      </w:r>
      <w:r>
        <w:rPr>
          <w:rFonts w:ascii="Times New Roman" w:hAnsi="Times New Roman"/>
          <w:sz w:val="28"/>
          <w:szCs w:val="28"/>
        </w:rPr>
        <w:t>),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ListParagraph"/>
        <w:ind w:left="0" w:firstLine="567"/>
        <w:rPr>
          <w:rFonts w:ascii="Times New Roman" w:hAnsi="Times New Roman"/>
          <w:sz w:val="28"/>
          <w:szCs w:val="28"/>
        </w:rPr>
      </w:pPr>
      <w:r>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pPr>
        <w:pStyle w:val="ListParagraph"/>
        <w:ind w:left="0" w:firstLine="567"/>
        <w:rPr>
          <w:rFonts w:ascii="Times New Roman" w:hAnsi="Times New Roman"/>
          <w:sz w:val="28"/>
          <w:szCs w:val="28"/>
        </w:rPr>
      </w:pPr>
      <w:r>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справки о доходах, расходах, </w:t>
      </w:r>
    </w:p>
    <w:p>
      <w:pPr>
        <w:pStyle w:val="Normal"/>
        <w:ind w:hanging="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15" w:tgtFrame="http://www.kremlin.ru/structure/additional/12">
        <w:r>
          <w:rPr>
            <w:rStyle w:val="-"/>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6" w:tgtFrame="https://gossluzhba.gov.ru/anticorruption/spravki_bk">
        <w:r>
          <w:rPr>
            <w:rStyle w:val="-"/>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17">
        <w:r>
          <w:rPr>
            <w:rStyle w:val="-"/>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3"/>
          <w:rFonts w:cs="Times New Roman" w:ascii="Times New Roman" w:hAnsi="Times New Roman"/>
          <w:sz w:val="28"/>
          <w:szCs w:val="28"/>
        </w:rPr>
        <w:t>полностью, без</w:t>
      </w:r>
      <w:r>
        <w:rPr>
          <w:rStyle w:val="Style13"/>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3"/>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3"/>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3"/>
          <w:rFonts w:ascii="Times New Roman" w:hAnsi="Times New Roman" w:cs="Times New Roman"/>
          <w:color w:val="000000"/>
          <w:sz w:val="28"/>
          <w:szCs w:val="28"/>
        </w:rPr>
      </w:pPr>
      <w:r>
        <w:rPr>
          <w:rStyle w:val="Style13"/>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3"/>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3"/>
          <w:rFonts w:ascii="Times New Roman" w:hAnsi="Times New Roman" w:cs="Times New Roman"/>
          <w:sz w:val="28"/>
          <w:szCs w:val="28"/>
        </w:rPr>
      </w:pPr>
      <w:r>
        <w:rPr>
          <w:rStyle w:val="Style13"/>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3"/>
          <w:rFonts w:ascii="Times New Roman" w:hAnsi="Times New Roman" w:cs="Times New Roman"/>
          <w:sz w:val="28"/>
          <w:szCs w:val="28"/>
        </w:rPr>
      </w:pPr>
      <w:r>
        <w:rPr>
          <w:rStyle w:val="Style13"/>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3"/>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3"/>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3"/>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3"/>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3"/>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3"/>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3"/>
          <w:rFonts w:cs="Times New Roman" w:ascii="Times New Roman" w:hAnsi="Times New Roman"/>
          <w:sz w:val="28"/>
          <w:szCs w:val="28"/>
        </w:rPr>
        <w:t>по состоянию на дату представления справки</w:t>
      </w:r>
      <w:r>
        <w:rPr>
          <w:rStyle w:val="Style13"/>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3"/>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szCs w:val="28"/>
        </w:rPr>
        <w:t>. При этом в графе "Вид дохода" указывается предыдущее место работы.</w:t>
      </w:r>
    </w:p>
    <w:p>
      <w:pPr>
        <w:pStyle w:val="ListParagraph"/>
        <w:ind w:left="0" w:firstLine="567"/>
        <w:rPr>
          <w:rFonts w:ascii="Times New Roman" w:hAnsi="Times New Roman"/>
          <w:b/>
          <w:sz w:val="28"/>
          <w:szCs w:val="28"/>
        </w:rPr>
      </w:pPr>
      <w:r>
        <w:rPr>
          <w:rFonts w:ascii="Times New Roman" w:hAnsi="Times New Roman"/>
          <w:b/>
          <w:sz w:val="28"/>
          <w:szCs w:val="28"/>
        </w:rPr>
        <w:t>Особенности заполнения данной графы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Normal"/>
        <w:ind w:firstLine="567"/>
        <w:rPr>
          <w:rFonts w:ascii="Times New Roman" w:hAnsi="Times New Roman"/>
          <w:sz w:val="28"/>
          <w:szCs w:val="28"/>
        </w:rPr>
      </w:pPr>
      <w:r>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szCs w:val="28"/>
        </w:rPr>
        <w:t xml:space="preserve">"Доход по основному месту работы" </w:t>
      </w:r>
      <w:r>
        <w:rPr>
          <w:rFonts w:ascii="Times New Roman" w:hAnsi="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szCs w:val="28"/>
        </w:rPr>
        <w:t xml:space="preserve"> "Иные доходы" </w:t>
      </w:r>
      <w:r>
        <w:rPr>
          <w:rFonts w:ascii="Times New Roman" w:hAnsi="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8" w:tgtFrame="https://mintrud.gov.ru/docs/1872">
        <w:r>
          <w:rPr>
            <w:rStyle w:val="-"/>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szCs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szCs w:val="28"/>
        </w:rPr>
        <w:t>.</w:t>
      </w:r>
    </w:p>
    <w:p>
      <w:pPr>
        <w:pStyle w:val="ListParagraph"/>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 xml:space="preserve">Подлежат указанию в строках </w:t>
      </w:r>
      <w:r>
        <w:rPr>
          <w:b/>
          <w:color w:val="auto"/>
          <w:sz w:val="28"/>
          <w:szCs w:val="28"/>
        </w:rPr>
        <w:t>"Доход от педагогической и научной деятельности"</w:t>
      </w:r>
      <w:r>
        <w:rPr>
          <w:color w:val="auto"/>
          <w:sz w:val="28"/>
          <w:szCs w:val="28"/>
        </w:rPr>
        <w:t xml:space="preserve"> и </w:t>
      </w:r>
      <w:r>
        <w:rPr>
          <w:b/>
          <w:color w:val="auto"/>
          <w:sz w:val="28"/>
          <w:szCs w:val="28"/>
        </w:rPr>
        <w:t>"Доход от иной творческой деятельности"</w:t>
      </w:r>
      <w:r>
        <w:rPr>
          <w:color w:val="auto"/>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13"/>
          <w:rFonts w:cs="Times New Roman" w:ascii="Times New Roman" w:hAnsi="Times New Roman"/>
          <w:sz w:val="28"/>
          <w:szCs w:val="28"/>
        </w:rPr>
        <w:t>полученной в рамках Указания Банка России № 5798-У, такие сведения не отражаются в справке.</w:t>
      </w:r>
    </w:p>
    <w:p>
      <w:pPr>
        <w:pStyle w:val="ListParagraph"/>
        <w:tabs>
          <w:tab w:val="clear" w:pos="709"/>
          <w:tab w:val="left" w:pos="1276" w:leader="none"/>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sz w:val="28"/>
          <w:szCs w:val="28"/>
        </w:rPr>
      </w:pPr>
      <w:r>
        <w:rPr>
          <w:rFonts w:ascii="Times New Roman" w:hAnsi="Times New Roman"/>
          <w:b/>
          <w:sz w:val="28"/>
          <w:szCs w:val="28"/>
        </w:rPr>
        <w:t>Иные доходы</w:t>
      </w:r>
    </w:p>
    <w:p>
      <w:pPr>
        <w:pStyle w:val="Style22"/>
        <w:numPr>
          <w:ilvl w:val="0"/>
          <w:numId w:val="1"/>
        </w:numPr>
        <w:shd w:val="clear" w:color="auto" w:fill="auto"/>
        <w:tabs>
          <w:tab w:val="clear" w:pos="709"/>
          <w:tab w:val="left" w:pos="142" w:leader="none"/>
        </w:tabs>
        <w:spacing w:lineRule="auto" w:line="240" w:before="0" w:after="0"/>
        <w:ind w:left="0" w:firstLine="567"/>
        <w:rPr>
          <w:rStyle w:val="Style13"/>
          <w:rFonts w:ascii="Times New Roman" w:hAnsi="Times New Roman" w:cs="Times New Roman"/>
          <w:color w:val="000000"/>
          <w:sz w:val="28"/>
          <w:szCs w:val="28"/>
        </w:rPr>
      </w:pPr>
      <w:r>
        <w:rPr>
          <w:rStyle w:val="Style13"/>
          <w:rFonts w:cs="Times New Roman" w:ascii="Times New Roman" w:hAnsi="Times New Roman"/>
          <w:color w:val="000000"/>
          <w:sz w:val="28"/>
          <w:szCs w:val="28"/>
        </w:rPr>
        <w:t xml:space="preserve">В данной строке указываются доходы, которые не были отражены в вышеуказанных строках справки. </w:t>
      </w:r>
    </w:p>
    <w:p>
      <w:pPr>
        <w:pStyle w:val="Style22"/>
        <w:shd w:val="clear" w:color="auto" w:fill="auto"/>
        <w:tabs>
          <w:tab w:val="clear" w:pos="709"/>
          <w:tab w:val="left" w:pos="142" w:leader="none"/>
        </w:tabs>
        <w:spacing w:lineRule="auto" w:line="240" w:before="0" w:after="0"/>
        <w:ind w:firstLine="567"/>
        <w:rPr>
          <w:rStyle w:val="Style13"/>
          <w:rFonts w:ascii="Times New Roman" w:hAnsi="Times New Roman" w:cs="Times New Roman"/>
          <w:sz w:val="28"/>
          <w:szCs w:val="28"/>
        </w:rPr>
      </w:pPr>
      <w:r>
        <w:rPr>
          <w:rStyle w:val="Style13"/>
          <w:rFonts w:cs="Times New Roman" w:ascii="Times New Roman" w:hAnsi="Times New Roman"/>
          <w:sz w:val="28"/>
          <w:szCs w:val="28"/>
        </w:rPr>
        <w:t xml:space="preserve">Так, например, в строке </w:t>
      </w:r>
      <w:r>
        <w:rPr>
          <w:rStyle w:val="Style13"/>
          <w:rFonts w:cs="Times New Roman" w:ascii="Times New Roman" w:hAnsi="Times New Roman"/>
          <w:b/>
          <w:sz w:val="28"/>
          <w:szCs w:val="28"/>
        </w:rPr>
        <w:t>"Иные</w:t>
      </w:r>
      <w:r>
        <w:rPr>
          <w:rStyle w:val="Style13"/>
          <w:rFonts w:ascii="Times New Roman" w:hAnsi="Times New Roman"/>
          <w:b/>
          <w:sz w:val="28"/>
        </w:rPr>
        <w:t xml:space="preserve"> доходы</w:t>
      </w:r>
      <w:r>
        <w:rPr>
          <w:rStyle w:val="Style13"/>
          <w:rFonts w:cs="Times New Roman" w:ascii="Times New Roman" w:hAnsi="Times New Roman"/>
          <w:b/>
          <w:sz w:val="28"/>
          <w:szCs w:val="28"/>
        </w:rPr>
        <w:t>"</w:t>
      </w:r>
      <w:r>
        <w:rPr>
          <w:rStyle w:val="Style13"/>
          <w:rFonts w:cs="Times New Roman" w:ascii="Times New Roman" w:hAnsi="Times New Roman"/>
          <w:sz w:val="28"/>
          <w:szCs w:val="28"/>
        </w:rPr>
        <w:t xml:space="preserve"> могут быть указаны: </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sz w:val="28"/>
          <w:szCs w:val="28"/>
        </w:rPr>
      </w:pPr>
      <w:r>
        <w:rPr>
          <w:rStyle w:val="Style13"/>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3"/>
          <w:rFonts w:cs="Times New Roman" w:ascii="Times New Roman" w:hAnsi="Times New Roman"/>
          <w:sz w:val="28"/>
          <w:szCs w:val="28"/>
        </w:rPr>
        <w:t>;</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3"/>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3"/>
          <w:rFonts w:cs="Times New Roman"/>
          <w:sz w:val="28"/>
          <w:szCs w:val="28"/>
        </w:rPr>
        <w:t xml:space="preserve"> и др.</w:t>
      </w:r>
      <w:r>
        <w:rPr>
          <w:color w:val="auto"/>
          <w:sz w:val="28"/>
          <w:szCs w:val="28"/>
        </w:rPr>
        <w:t xml:space="preserve">), если данные выплаты не были включены в Справку </w:t>
      </w:r>
      <w:r>
        <w:rPr>
          <w:sz w:val="28"/>
          <w:szCs w:val="28"/>
        </w:rPr>
        <w:t>о доходах и суммах налога физического лица</w:t>
      </w:r>
      <w:r>
        <w:rPr>
          <w:color w:val="auto"/>
          <w:sz w:val="28"/>
          <w:szCs w:val="28"/>
        </w:rPr>
        <w:t xml:space="preserve">,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color w:val="000000"/>
          <w:sz w:val="28"/>
          <w:szCs w:val="28"/>
        </w:rPr>
      </w:pPr>
      <w:r>
        <w:rPr>
          <w:rStyle w:val="Style13"/>
          <w:rFonts w:cs="Times New Roman"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Style13"/>
          <w:rFonts w:ascii="Times New Roman" w:hAnsi="Times New Roman"/>
          <w:b/>
          <w:color w:val="000000"/>
          <w:sz w:val="28"/>
        </w:rPr>
        <w:t>"Иные доходы"</w:t>
      </w:r>
      <w:r>
        <w:rPr>
          <w:rStyle w:val="Style13"/>
          <w:rFonts w:cs="Times New Roman" w:ascii="Times New Roman" w:hAnsi="Times New Roman"/>
          <w:color w:val="000000"/>
          <w:sz w:val="28"/>
          <w:szCs w:val="28"/>
        </w:rPr>
        <w:t xml:space="preserve"> и в разделе 4 справки;</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color w:val="000000"/>
          <w:sz w:val="28"/>
          <w:szCs w:val="28"/>
        </w:rPr>
      </w:pPr>
      <w:r>
        <w:rPr>
          <w:rStyle w:val="Style13"/>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sz w:val="28"/>
          <w:szCs w:val="28"/>
        </w:rPr>
      </w:pPr>
      <w:r>
        <w:rPr>
          <w:rStyle w:val="Style13"/>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2"/>
        <w:shd w:val="clear" w:color="auto" w:fill="auto"/>
        <w:tabs>
          <w:tab w:val="clear" w:pos="709"/>
          <w:tab w:val="left" w:pos="142" w:leader="none"/>
          <w:tab w:val="left" w:pos="1134" w:leader="none"/>
        </w:tabs>
        <w:spacing w:lineRule="auto" w:line="240" w:before="0" w:after="0"/>
        <w:ind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3"/>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2"/>
        <w:shd w:val="clear" w:color="auto" w:fill="auto"/>
        <w:tabs>
          <w:tab w:val="clear" w:pos="709"/>
          <w:tab w:val="left" w:pos="142" w:leader="none"/>
          <w:tab w:val="left" w:pos="1134" w:leader="none"/>
        </w:tabs>
        <w:spacing w:lineRule="auto" w:line="240" w:before="0" w:after="0"/>
        <w:ind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2"/>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3"/>
          <w:rFonts w:cs="Times New Roman" w:ascii="Times New Roman" w:hAnsi="Times New Roman"/>
          <w:color w:val="000000"/>
          <w:sz w:val="28"/>
          <w:szCs w:val="28"/>
        </w:rPr>
        <w:t xml:space="preserve">При этом </w:t>
      </w:r>
      <w:r>
        <w:rPr>
          <w:rStyle w:val="Style13"/>
          <w:rFonts w:cs="Times New Roman" w:ascii="Times New Roman" w:hAnsi="Times New Roman"/>
          <w:sz w:val="28"/>
          <w:szCs w:val="28"/>
        </w:rPr>
        <w:t xml:space="preserve">рекомендуется </w:t>
      </w:r>
      <w:r>
        <w:rPr>
          <w:rStyle w:val="Style13"/>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cs="Times New Roman" w:ascii="Times New Roman" w:hAnsi="Times New Roman"/>
          <w:sz w:val="28"/>
          <w:szCs w:val="28"/>
        </w:rPr>
        <w:t>).</w:t>
      </w:r>
    </w:p>
    <w:p>
      <w:pPr>
        <w:pStyle w:val="Style22"/>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pPr>
        <w:pStyle w:val="Style22"/>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2"/>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2"/>
        <w:numPr>
          <w:ilvl w:val="0"/>
          <w:numId w:val="6"/>
        </w:numPr>
        <w:shd w:val="clear" w:color="auto" w:fill="auto"/>
        <w:tabs>
          <w:tab w:val="clear" w:pos="709"/>
          <w:tab w:val="left" w:pos="142" w:leader="none"/>
          <w:tab w:val="left" w:pos="710" w:leader="none"/>
        </w:tabs>
        <w:spacing w:lineRule="auto" w:line="240" w:before="0" w:after="0"/>
        <w:ind w:left="0" w:firstLine="567"/>
        <w:rPr>
          <w:rStyle w:val="Style13"/>
          <w:rFonts w:ascii="Times New Roman" w:hAnsi="Times New Roman" w:cs="Times New Roman"/>
          <w:sz w:val="28"/>
          <w:szCs w:val="28"/>
        </w:rPr>
      </w:pPr>
      <w:r>
        <w:rPr>
          <w:rStyle w:val="Style13"/>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3"/>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3"/>
          <w:rFonts w:cs="Times New Roman"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13"/>
          <w:rFonts w:ascii="Times New Roman" w:hAnsi="Times New Roman"/>
          <w:b/>
          <w:sz w:val="28"/>
        </w:rPr>
        <w:t>"Доход от ценных бумаг и долей участия в коммерческих организациях"</w:t>
      </w:r>
      <w:r>
        <w:rPr>
          <w:rStyle w:val="Style13"/>
          <w:rFonts w:cs="Times New Roman" w:ascii="Times New Roman" w:hAnsi="Times New Roman"/>
          <w:sz w:val="28"/>
          <w:szCs w:val="28"/>
        </w:rPr>
        <w:t>;</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3"/>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eastAsia="Times New Roman" w:cs="Times New Roman" w:ascii="Times New Roman" w:hAnsi="Times New Roman"/>
          <w:sz w:val="28"/>
          <w:szCs w:val="28"/>
          <w:lang w:eastAsia="ru-RU"/>
        </w:rPr>
        <w:t xml:space="preserve"> подраздела 3.1 раздела 3 справки);</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Style w:val="Style13"/>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2"/>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w:t>
      </w:r>
      <w:r>
        <w:rPr>
          <w:sz w:val="28"/>
          <w:szCs w:val="28"/>
        </w:rPr>
        <w:t>о доходах и суммах налога физического лица</w:t>
      </w:r>
      <w:r>
        <w:rPr>
          <w:sz w:val="28"/>
        </w:rPr>
        <w:t xml:space="preserve"> </w:t>
      </w:r>
      <w:r>
        <w:rPr>
          <w:color w:val="auto"/>
          <w:sz w:val="28"/>
          <w:szCs w:val="28"/>
        </w:rPr>
        <w:t xml:space="preserve">по месту службы (работы) и не отражены в строке </w:t>
      </w:r>
      <w:r>
        <w:rPr>
          <w:b/>
          <w:color w:val="auto"/>
          <w:sz w:val="28"/>
        </w:rPr>
        <w:t>"Доход по основному месту работы"</w:t>
      </w:r>
      <w:r>
        <w:rPr>
          <w:color w:val="auto"/>
          <w:sz w:val="28"/>
          <w:szCs w:val="28"/>
        </w:rPr>
        <w:t xml:space="preserve">;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2"/>
        <w:numPr>
          <w:ilvl w:val="0"/>
          <w:numId w:val="6"/>
        </w:numPr>
        <w:shd w:val="clear" w:color="auto" w:fill="auto"/>
        <w:tabs>
          <w:tab w:val="clear" w:pos="709"/>
          <w:tab w:val="left" w:pos="142" w:leader="none"/>
          <w:tab w:val="left" w:pos="1276" w:leader="none"/>
        </w:tabs>
        <w:spacing w:lineRule="auto" w:line="240" w:before="0" w:after="0"/>
        <w:ind w:left="0" w:firstLine="567"/>
        <w:rPr>
          <w:rStyle w:val="Style13"/>
          <w:rFonts w:ascii="Times New Roman" w:hAnsi="Times New Roman" w:cs="Times New Roman"/>
          <w:color w:val="000000"/>
          <w:sz w:val="28"/>
          <w:szCs w:val="28"/>
        </w:rPr>
      </w:pPr>
      <w:r>
        <w:rPr>
          <w:rStyle w:val="Style13"/>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2"/>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eastAsia="Times New Roman" w:ascii="Times New Roman" w:hAnsi="Times New Roman"/>
          <w:b/>
          <w:sz w:val="28"/>
          <w:szCs w:val="28"/>
          <w:lang w:eastAsia="ru-RU"/>
        </w:rPr>
        <w:t>"</w:t>
      </w:r>
      <w:r>
        <w:rPr>
          <w:rFonts w:ascii="Times New Roman" w:hAnsi="Times New Roman"/>
          <w:sz w:val="28"/>
          <w:szCs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eastAsia="Times New Roman" w:ascii="Times New Roman" w:hAnsi="Times New Roman"/>
          <w:b/>
          <w:sz w:val="28"/>
          <w:szCs w:val="28"/>
          <w:lang w:eastAsia="ru-RU"/>
        </w:rPr>
        <w:t>"</w:t>
      </w:r>
      <w:r>
        <w:rPr>
          <w:rFonts w:ascii="Times New Roman" w:hAnsi="Times New Roman"/>
          <w:sz w:val="28"/>
          <w:szCs w:val="28"/>
        </w:rPr>
        <w:t>;</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3"/>
          <w:rFonts w:cs="Times New Roman" w:ascii="Times New Roman" w:hAnsi="Times New Roman"/>
          <w:color w:val="000000"/>
          <w:sz w:val="28"/>
          <w:szCs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Также в строке </w:t>
      </w:r>
      <w:r>
        <w:rPr>
          <w:rFonts w:ascii="Times New Roman" w:hAnsi="Times New Roman"/>
          <w:b/>
          <w:sz w:val="28"/>
        </w:rPr>
        <w:t xml:space="preserve">"Иные доходы" </w:t>
      </w:r>
      <w:r>
        <w:rPr>
          <w:rFonts w:eastAsia="Times New Roman" w:ascii="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 xml:space="preserve">рупционного законодательства в строке </w:t>
      </w:r>
      <w:r>
        <w:rPr>
          <w:rFonts w:ascii="Times New Roman" w:hAnsi="Times New Roman"/>
          <w:b/>
          <w:sz w:val="28"/>
        </w:rPr>
        <w:t>"Иные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 салонами красоты и пр.;</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3"/>
          <w:rFonts w:cs="Times New Roman" w:ascii="Times New Roman" w:hAnsi="Times New Roman"/>
          <w:color w:val="000000"/>
          <w:sz w:val="28"/>
          <w:szCs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3"/>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3"/>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3"/>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 xml:space="preserve">не подлежит отражению в разделе 1 справки. </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hanging="0"/>
        <w:jc w:val="center"/>
        <w:rPr>
          <w:rFonts w:ascii="Times New Roman" w:hAnsi="Times New Roman"/>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szCs w:val="28"/>
        </w:rPr>
        <w:t xml:space="preserve">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 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Вид приобретенного имущества</w:t>
      </w:r>
      <w:r>
        <w:rPr>
          <w:rFonts w:ascii="Times New Roman" w:hAnsi="Times New Roman"/>
          <w:b/>
          <w:sz w:val="28"/>
        </w:rPr>
        <w:t>"</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b/>
          <w:sz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3"/>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color w:val="000000"/>
          <w:sz w:val="28"/>
          <w:szCs w:val="28"/>
        </w:rPr>
        <w:t xml:space="preserve">При наличии в собственности </w:t>
      </w:r>
      <w:r>
        <w:rPr>
          <w:rStyle w:val="Style13"/>
          <w:rFonts w:cs="Times New Roman" w:ascii="Times New Roman" w:hAnsi="Times New Roman"/>
          <w:b/>
          <w:color w:val="000000"/>
          <w:sz w:val="28"/>
          <w:szCs w:val="28"/>
        </w:rPr>
        <w:t>жилого или садового дома,</w:t>
      </w:r>
      <w:r>
        <w:rPr>
          <w:rStyle w:val="Style13"/>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3"/>
          <w:rFonts w:cs="Times New Roman" w:ascii="Times New Roman" w:hAnsi="Times New Roman"/>
          <w:color w:val="000000"/>
          <w:sz w:val="28"/>
          <w:szCs w:val="28"/>
        </w:rPr>
        <w:t>В строке "</w:t>
      </w:r>
      <w:r>
        <w:rPr>
          <w:rStyle w:val="Style13"/>
          <w:rFonts w:cs="Times New Roman" w:ascii="Times New Roman" w:hAnsi="Times New Roman"/>
          <w:b/>
          <w:color w:val="000000"/>
          <w:sz w:val="28"/>
          <w:szCs w:val="28"/>
        </w:rPr>
        <w:t>Гаражи</w:t>
      </w:r>
      <w:r>
        <w:rPr>
          <w:rStyle w:val="Style13"/>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3"/>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3"/>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3"/>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3"/>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3"/>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9" w:tgtFrame="https://lk.rosreestr.ru/eservices/real-estate-objects-online">
        <w:r>
          <w:rPr>
            <w:rStyle w:val="-"/>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20"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21"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22"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"Иные транспортные средства"</w:t>
      </w:r>
      <w:r>
        <w:rPr>
          <w:rFonts w:ascii="Times New Roman" w:hAnsi="Times New Roman"/>
          <w:sz w:val="28"/>
          <w:szCs w:val="28"/>
        </w:rPr>
        <w:t xml:space="preserve">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Наименование цифрового финансового актива или цифрового права</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Дата приобретения</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3"/>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Общее количество</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3"/>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3">
        <w:r>
          <w:rPr>
            <w:rStyle w:val="-"/>
            <w:rFonts w:ascii="Times New Roman" w:hAnsi="Times New Roman"/>
            <w:sz w:val="28"/>
            <w:szCs w:val="28"/>
          </w:rPr>
          <w:t>https://cbr.ru/vfs/registers/infr/list_OIS.xlsx</w:t>
        </w:r>
      </w:hyperlink>
      <w:r>
        <w:rPr>
          <w:rStyle w:val="Style13"/>
          <w:rFonts w:cs="Times New Roman" w:ascii="Times New Roman" w:hAnsi="Times New Roman"/>
          <w:sz w:val="28"/>
          <w:szCs w:val="28"/>
          <w:shd w:fill="auto" w:val="clear"/>
        </w:rPr>
        <w:t>.</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Уникальное условное обозначение</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Дата приобретения</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дата приобретения утилитарного цифрового права.</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Объем инвестиций (руб.)</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3"/>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54 настоящих Методических рекомендаций)</w:t>
      </w:r>
      <w:r>
        <w:rPr>
          <w:rStyle w:val="Style13"/>
          <w:rFonts w:cs="Times New Roman" w:ascii="Times New Roman" w:hAnsi="Times New Roman"/>
          <w:sz w:val="28"/>
          <w:szCs w:val="28"/>
          <w:shd w:fill="auto" w:val="clear"/>
        </w:rPr>
        <w:t>.</w:t>
      </w:r>
    </w:p>
    <w:p>
      <w:pPr>
        <w:pStyle w:val="Normal"/>
        <w:widowControl w:val="false"/>
        <w:ind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Сведения об операторе инвестиционной платформы</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24">
        <w:r>
          <w:rPr>
            <w:rStyle w:val="-"/>
            <w:rFonts w:ascii="Times New Roman" w:hAnsi="Times New Roman"/>
            <w:sz w:val="28"/>
            <w:szCs w:val="28"/>
          </w:rPr>
          <w:t>https://cbr.ru/vfs/registers/infr/list_invest_platform_op.xlsx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3"/>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Наименование цифровой валюты</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Дата приобретения</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дата приобретения цифровой валюты.</w:t>
      </w:r>
    </w:p>
    <w:p>
      <w:pPr>
        <w:pStyle w:val="ListParagraph"/>
        <w:widowControl w:val="false"/>
        <w:ind w:left="0" w:firstLine="567"/>
        <w:rPr>
          <w:rStyle w:val="Style13"/>
          <w:rFonts w:ascii="Times New Roman" w:hAnsi="Times New Roman" w:cs="Times New Roman"/>
          <w:sz w:val="28"/>
          <w:szCs w:val="28"/>
          <w:shd w:fill="auto" w:val="clear"/>
        </w:rPr>
      </w:pP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Дата приобретения</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sz w:val="28"/>
          <w:szCs w:val="28"/>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w:t>
      </w:r>
      <w:r>
        <w:rPr>
          <w:rStyle w:val="Style13"/>
          <w:rFonts w:cs="Times New Roman" w:ascii="Times New Roman" w:hAnsi="Times New Roman"/>
          <w:b/>
          <w:sz w:val="28"/>
          <w:szCs w:val="28"/>
          <w:shd w:fill="auto" w:val="clear"/>
        </w:rPr>
        <w:t>Общее количество</w:t>
      </w:r>
      <w:r>
        <w:rPr>
          <w:rStyle w:val="Style13"/>
          <w:rFonts w:ascii="Times New Roman" w:hAnsi="Times New Roman"/>
          <w:b/>
          <w:sz w:val="28"/>
          <w:shd w:fill="auto" w:val="clear"/>
        </w:rPr>
        <w:t>"</w:t>
      </w:r>
      <w:r>
        <w:rPr>
          <w:rStyle w:val="Style13"/>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 xml:space="preserve">РАЗДЕЛ 4. СВЕДЕНИЯ О СЧЕТАХ В БАНКАХ </w:t>
      </w:r>
    </w:p>
    <w:p>
      <w:pPr>
        <w:pStyle w:val="Normal"/>
        <w:ind w:hanging="0"/>
        <w:jc w:val="center"/>
        <w:rPr>
          <w:rFonts w:ascii="Times New Roman" w:hAnsi="Times New Roman"/>
          <w:b/>
          <w:sz w:val="28"/>
          <w:szCs w:val="28"/>
        </w:rPr>
      </w:pPr>
      <w:r>
        <w:rPr>
          <w:rFonts w:ascii="Times New Roman" w:hAnsi="Times New Roman"/>
          <w:b/>
          <w:sz w:val="28"/>
          <w:szCs w:val="28"/>
        </w:rPr>
        <w:t>И ИНЫХ КРЕДИТНЫХ ОРГАНИЗАЦИЯХ</w:t>
      </w:r>
    </w:p>
    <w:p>
      <w:pPr>
        <w:pStyle w:val="Normal"/>
        <w:ind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Normal"/>
        <w:tabs>
          <w:tab w:val="clear" w:pos="709"/>
          <w:tab w:val="left" w:pos="567" w:leader="none"/>
          <w:tab w:val="left" w:pos="993" w:leader="none"/>
        </w:tabs>
        <w:rPr>
          <w:rFonts w:ascii="Times New Roman" w:hAnsi="Times New Roman"/>
          <w:color w:val="000000"/>
          <w:sz w:val="28"/>
          <w:szCs w:val="28"/>
        </w:rPr>
      </w:pPr>
      <w:r>
        <w:rPr>
          <w:rFonts w:ascii="Times New Roman" w:hAnsi="Times New Roman"/>
          <w:color w:val="000000"/>
          <w:sz w:val="28"/>
          <w:szCs w:val="28"/>
        </w:rPr>
        <w:t xml:space="preserve">Информация о счетах, закрытых по состоянию на отчетную дату, не подлежит отражению в справке. </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w:t>
      </w:r>
      <w:r>
        <w:rPr>
          <w:rFonts w:ascii="Times New Roman" w:hAnsi="Times New Roman"/>
          <w:sz w:val="28"/>
          <w:szCs w:val="28"/>
        </w:rPr>
        <w:t>арта может быть не привязана к счету, например, при открытии "Пушкинской карты" и др.</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left="0" w:firstLine="567"/>
        <w:outlineLvl w:val="1"/>
        <w:rPr>
          <w:rStyle w:val="Style13"/>
          <w:rFonts w:ascii="Times New Roman" w:hAnsi="Times New Roman" w:cs="Times New Roman"/>
          <w:color w:val="000000"/>
          <w:sz w:val="28"/>
          <w:szCs w:val="28"/>
        </w:rPr>
      </w:pPr>
      <w:r>
        <w:rPr>
          <w:rStyle w:val="Style13"/>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ListParagraph"/>
        <w:ind w:left="0" w:firstLine="567"/>
        <w:rPr>
          <w:rFonts w:ascii="Times New Roman" w:hAnsi="Times New Roman"/>
          <w:sz w:val="28"/>
          <w:szCs w:val="28"/>
        </w:rPr>
      </w:pPr>
      <w:r>
        <w:rPr>
          <w:rFonts w:ascii="Times New Roman" w:hAnsi="Times New Roman"/>
          <w:sz w:val="28"/>
          <w:szCs w:val="28"/>
        </w:rPr>
        <w:t>9) счет цифрового рубля.</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5" w:tgtFrame="https://www.cbr.ru/hd_base/metall/metall_base_new/">
        <w:r>
          <w:rPr>
            <w:rStyle w:val="-"/>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3"/>
          <w:rFonts w:ascii="Times New Roman" w:hAnsi="Times New Roman" w:cs="Times New Roman"/>
          <w:sz w:val="28"/>
          <w:szCs w:val="28"/>
        </w:rPr>
      </w:pPr>
      <w:r>
        <w:rPr>
          <w:rStyle w:val="Style13"/>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Style w:val="Style13"/>
          <w:rFonts w:ascii="Times New Roman" w:hAnsi="Times New Roman"/>
        </w:rPr>
      </w:pPr>
      <w:r>
        <w:rPr>
          <w:rStyle w:val="Style13"/>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ind w:left="0" w:firstLine="567"/>
        <w:rPr>
          <w:rFonts w:ascii="Times New Roman" w:hAnsi="Times New Roman"/>
          <w:sz w:val="28"/>
          <w:szCs w:val="28"/>
        </w:rPr>
      </w:pPr>
      <w:r>
        <w:rPr>
          <w:rStyle w:val="Style13"/>
          <w:rFonts w:cs="Times New Roman" w:ascii="Times New Roman" w:hAnsi="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pPr>
        <w:pStyle w:val="ListParagraph"/>
        <w:ind w:left="0" w:firstLine="567"/>
        <w:rPr>
          <w:rFonts w:ascii="Times New Roman" w:hAnsi="Times New Roman"/>
          <w:sz w:val="28"/>
          <w:szCs w:val="28"/>
        </w:rPr>
      </w:pPr>
      <w:r>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Style13"/>
          <w:rFonts w:cs="Times New Roman" w:ascii="Times New Roman" w:hAnsi="Times New Roman"/>
          <w:sz w:val="28"/>
          <w:szCs w:val="28"/>
        </w:rPr>
        <w:t>107016, Москва, ул. Неглинная, д. 12, к. В.</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"Вид и валюта счета"</w:t>
      </w:r>
      <w:r>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3"/>
          <w:rFonts w:ascii="Times New Roman" w:hAnsi="Times New Roman" w:cs="Times New Roman"/>
          <w:sz w:val="28"/>
          <w:szCs w:val="28"/>
        </w:rPr>
      </w:pPr>
      <w:r>
        <w:rPr>
          <w:rFonts w:ascii="Times New Roman" w:hAnsi="Times New Roman"/>
          <w:sz w:val="28"/>
          <w:szCs w:val="28"/>
        </w:rPr>
        <w:t xml:space="preserve">В графе </w:t>
      </w:r>
      <w:r>
        <w:rPr>
          <w:rFonts w:ascii="Times New Roman" w:hAnsi="Times New Roman"/>
          <w:b/>
          <w:sz w:val="28"/>
        </w:rPr>
        <w:t>"Дата открытия счета"</w:t>
      </w:r>
      <w:r>
        <w:rPr>
          <w:rFonts w:ascii="Times New Roman" w:hAnsi="Times New Roman"/>
          <w:sz w:val="28"/>
          <w:szCs w:val="28"/>
        </w:rPr>
        <w:t xml:space="preserve"> </w:t>
      </w:r>
      <w:r>
        <w:rPr>
          <w:rStyle w:val="Style13"/>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"Остаток на счете</w:t>
      </w:r>
      <w:r>
        <w:rPr>
          <w:rFonts w:ascii="Times New Roman" w:hAnsi="Times New Roman"/>
          <w:b/>
          <w:sz w:val="28"/>
          <w:szCs w:val="28"/>
        </w:rPr>
        <w:t xml:space="preserve"> (руб.)"</w:t>
      </w:r>
      <w:r>
        <w:rPr>
          <w:rFonts w:ascii="Times New Roman" w:hAnsi="Times New Roman"/>
          <w:sz w:val="28"/>
          <w:szCs w:val="28"/>
        </w:rPr>
        <w:t xml:space="preserve">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szCs w:val="28"/>
        </w:rPr>
        <w:t>"Остаток на счете (руб.)"</w:t>
      </w:r>
      <w:r>
        <w:rPr>
          <w:rFonts w:ascii="Times New Roman" w:hAnsi="Times New Roman"/>
          <w:sz w:val="28"/>
          <w:szCs w:val="28"/>
        </w:rPr>
        <w:t xml:space="preserve"> раздела 4 справки в полном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w:t>
      </w:r>
      <w:r>
        <w:rPr>
          <w:rFonts w:ascii="Times New Roman" w:hAnsi="Times New Roman"/>
          <w:sz w:val="28"/>
        </w:rPr>
        <w:t xml:space="preserve"> за отчетный период</w:t>
      </w:r>
      <w:r>
        <w:rPr>
          <w:rFonts w:ascii="Times New Roman" w:hAnsi="Times New Roman"/>
          <w:sz w:val="28"/>
          <w:szCs w:val="28"/>
        </w:rPr>
        <w:t>,</w:t>
      </w:r>
      <w:r>
        <w:rPr>
          <w:rFonts w:ascii="Times New Roman" w:hAnsi="Times New Roman"/>
          <w:sz w:val="28"/>
        </w:rPr>
        <w:t xml:space="preserve">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szCs w:val="28"/>
        </w:rPr>
        <w:t>2024</w:t>
      </w:r>
      <w:r>
        <w:rPr>
          <w:rFonts w:ascii="Times New Roman" w:hAnsi="Times New Roman"/>
          <w:sz w:val="28"/>
        </w:rPr>
        <w:t xml:space="preserve"> году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Pr>
          <w:rFonts w:ascii="Times New Roman" w:hAnsi="Times New Roman"/>
          <w:sz w:val="28"/>
          <w:szCs w:val="28"/>
        </w:rPr>
        <w:t>такие счета в 2023</w:t>
      </w:r>
      <w:r>
        <w:rPr>
          <w:rFonts w:ascii="Times New Roman" w:hAnsi="Times New Roman"/>
          <w:sz w:val="28"/>
        </w:rPr>
        <w:t> году,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за 2021</w:t>
      </w:r>
      <w:r>
        <w:rPr>
          <w:rFonts w:ascii="Times New Roman" w:hAnsi="Times New Roman"/>
          <w:sz w:val="28"/>
          <w:szCs w:val="28"/>
        </w:rPr>
        <w:t>,</w:t>
      </w:r>
      <w:r>
        <w:rPr>
          <w:rFonts w:ascii="Times New Roman" w:hAnsi="Times New Roman"/>
          <w:sz w:val="28"/>
        </w:rPr>
        <w:t xml:space="preserve"> 2022</w:t>
      </w:r>
      <w:r>
        <w:rPr>
          <w:rFonts w:ascii="Times New Roman" w:hAnsi="Times New Roman"/>
          <w:sz w:val="28"/>
          <w:szCs w:val="28"/>
        </w:rPr>
        <w:t xml:space="preserve"> и 2023</w:t>
      </w:r>
      <w:r>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pPr>
        <w:pStyle w:val="Normal"/>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pPr>
        <w:pStyle w:val="Normal"/>
        <w:ind w:firstLine="567"/>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 за отчетный период,</w:t>
      </w:r>
      <w:r>
        <w:rPr>
          <w:rFonts w:ascii="Times New Roman" w:hAnsi="Times New Roman"/>
          <w:sz w:val="28"/>
        </w:rPr>
        <w:t xml:space="preserve"> не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супруга (супруги)</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pPr>
        <w:pStyle w:val="Normal"/>
        <w:ind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szCs w:val="28"/>
        </w:rPr>
        <w:t>),</w:t>
      </w:r>
      <w:r>
        <w:rPr>
          <w:rFonts w:ascii="Times New Roman" w:hAnsi="Times New Roman"/>
          <w:sz w:val="28"/>
        </w:rPr>
        <w:t xml:space="preserve"> его супруги (супруга)</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pPr>
        <w:pStyle w:val="Normal"/>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pPr>
        <w:pStyle w:val="ListParagraph"/>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Pr>
          <w:rFonts w:eastAsia="Times New Roman" w:ascii="Times New Roman" w:hAnsi="Times New Roman"/>
          <w:sz w:val="28"/>
          <w:szCs w:val="28"/>
          <w:lang w:eastAsia="ru-RU"/>
        </w:rPr>
        <w:t>54</w:t>
      </w:r>
      <w:r>
        <w:rPr>
          <w:rFonts w:ascii="Times New Roman" w:hAnsi="Times New Roman"/>
          <w:sz w:val="28"/>
        </w:rPr>
        <w:t xml:space="preserve"> настоящих Методических рекомендаций).</w:t>
      </w:r>
    </w:p>
    <w:p>
      <w:pPr>
        <w:pStyle w:val="ListParagraph"/>
        <w:numPr>
          <w:ilvl w:val="0"/>
          <w:numId w:val="1"/>
        </w:numPr>
        <w:ind w:left="0" w:firstLine="567"/>
        <w:rPr>
          <w:rFonts w:ascii="Times New Roman" w:hAnsi="Times New Roman"/>
          <w:b/>
          <w:sz w:val="28"/>
          <w:szCs w:val="28"/>
        </w:rPr>
      </w:pPr>
      <w:r>
        <w:rPr>
          <w:rFonts w:ascii="Times New Roman" w:hAnsi="Times New Roman"/>
          <w:b/>
          <w:sz w:val="28"/>
          <w:szCs w:val="28"/>
        </w:rPr>
        <w:t xml:space="preserve">Отдельные аспекты заполнения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w:t>
      </w:r>
    </w:p>
    <w:p>
      <w:pPr>
        <w:pStyle w:val="ListParagraph"/>
        <w:ind w:left="0" w:firstLine="567"/>
        <w:rPr>
          <w:rFonts w:ascii="Times New Roman" w:hAnsi="Times New Roman"/>
          <w:sz w:val="28"/>
          <w:szCs w:val="28"/>
        </w:rPr>
      </w:pPr>
      <w:r>
        <w:rPr>
          <w:rFonts w:ascii="Times New Roman" w:hAnsi="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pPr>
        <w:pStyle w:val="ListParagraph"/>
        <w:ind w:left="0" w:firstLine="567"/>
        <w:rPr>
          <w:rFonts w:ascii="Times New Roman" w:hAnsi="Times New Roman"/>
          <w:sz w:val="28"/>
          <w:szCs w:val="28"/>
        </w:rPr>
      </w:pPr>
      <w:r>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pPr>
        <w:pStyle w:val="ListParagraph"/>
        <w:ind w:left="0" w:firstLine="567"/>
        <w:rPr>
          <w:rFonts w:ascii="Times New Roman" w:hAnsi="Times New Roman"/>
          <w:sz w:val="28"/>
          <w:szCs w:val="28"/>
        </w:rPr>
      </w:pPr>
      <w:r>
        <w:rPr>
          <w:rFonts w:ascii="Times New Roman" w:hAnsi="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pPr>
        <w:pStyle w:val="ListParagraph"/>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4"/>
        <w:tblW w:w="1019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195"/>
      </w:tblGrid>
      <w:tr>
        <w:trPr/>
        <w:tc>
          <w:tcPr>
            <w:tcW w:w="10195" w:type="dxa"/>
            <w:tcBorders/>
            <w:shd w:color="auto" w:fill="FFFFFF" w:themeFill="background1" w:val="clear"/>
          </w:tcPr>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В течение отчетного периода на счета служащего (работника) поступило 300 тыс. руб., а на счета его супруги – 500 тыс. руб.</w:t>
            </w:r>
          </w:p>
          <w:p>
            <w:pPr>
              <w:pStyle w:val="Normal"/>
              <w:widowControl w:val="false"/>
              <w:tabs>
                <w:tab w:val="clear" w:pos="709"/>
                <w:tab w:val="left" w:pos="454" w:leader="none"/>
                <w:tab w:val="left" w:pos="9390" w:leader="none"/>
              </w:tabs>
              <w:suppressAutoHyphens w:val="true"/>
              <w:spacing w:before="0" w:after="0"/>
              <w:ind w:left="0" w:right="0" w:hanging="0"/>
              <w:rPr>
                <w:rFonts w:ascii="Times New Roman" w:hAnsi="Times New Roman"/>
                <w:iCs/>
                <w:sz w:val="28"/>
                <w:szCs w:val="28"/>
              </w:rPr>
            </w:pPr>
            <w:r>
              <w:rPr>
                <w:rFonts w:eastAsia="Calibri" w:cs="Times New Roman" w:ascii="Times New Roman" w:hAnsi="Times New Roman"/>
                <w:iCs/>
                <w:kern w:val="0"/>
                <w:sz w:val="28"/>
                <w:szCs w:val="28"/>
                <w:lang w:val="ru-RU" w:bidi="ar-SA"/>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pPr>
              <w:pStyle w:val="Normal"/>
              <w:widowControl w:val="false"/>
              <w:tabs>
                <w:tab w:val="clear" w:pos="709"/>
                <w:tab w:val="left" w:pos="454" w:leader="none"/>
                <w:tab w:val="left" w:pos="9390" w:leader="none"/>
              </w:tabs>
              <w:suppressAutoHyphens w:val="true"/>
              <w:spacing w:before="0" w:after="0"/>
              <w:ind w:left="0" w:right="0"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val="false"/>
              <w:numPr>
                <w:ilvl w:val="0"/>
                <w:numId w:val="10"/>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графа "Сумма поступивших на счет денежных средств (руб.)" раздела 4 справки в отношении служащего (работника) не заполняется;</w:t>
            </w:r>
          </w:p>
          <w:p>
            <w:pPr>
              <w:pStyle w:val="ListParagraph"/>
              <w:widowControl w:val="false"/>
              <w:numPr>
                <w:ilvl w:val="0"/>
                <w:numId w:val="10"/>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графа "Сумма поступивших на счет денежных средств (руб.)" раздела 4 справки в отношении его супруги также не заполняется. </w:t>
            </w:r>
          </w:p>
        </w:tc>
      </w:tr>
      <w:tr>
        <w:trPr/>
        <w:tc>
          <w:tcPr>
            <w:tcW w:w="10195" w:type="dxa"/>
            <w:tcBorders/>
            <w:shd w:color="auto" w:fill="FFFFFF" w:themeFill="background1" w:val="clear"/>
          </w:tcPr>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 открыто три счета.</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В течение отчетного периода на счет "А" поступило 500 тыс. руб. Впоследствии </w:t>
              <w:br/>
              <w:t xml:space="preserve">со счета "А" на счета "Б" и "В" переведены денежные средства: 300 тыс. руб. </w:t>
              <w:br/>
              <w:t>и 100 тыс. руб. соответственно.</w:t>
            </w:r>
          </w:p>
          <w:p>
            <w:pPr>
              <w:pStyle w:val="Normal"/>
              <w:widowControl w:val="false"/>
              <w:tabs>
                <w:tab w:val="clear" w:pos="709"/>
                <w:tab w:val="left" w:pos="454" w:leader="none"/>
                <w:tab w:val="left" w:pos="9390" w:leader="none"/>
              </w:tabs>
              <w:suppressAutoHyphens w:val="true"/>
              <w:spacing w:before="0" w:after="0"/>
              <w:ind w:left="0" w:right="0"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val="false"/>
              <w:numPr>
                <w:ilvl w:val="0"/>
                <w:numId w:val="8"/>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перераспределение (оборот) денежных средств по счетам составил 900 тыс. руб.;</w:t>
            </w:r>
          </w:p>
          <w:p>
            <w:pPr>
              <w:pStyle w:val="ListParagraph"/>
              <w:widowControl w:val="false"/>
              <w:numPr>
                <w:ilvl w:val="0"/>
                <w:numId w:val="8"/>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сумма денежных средств, поступивших на счета, – 500 тыс. руб.</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rPr/>
        <w:tc>
          <w:tcPr>
            <w:tcW w:w="10195" w:type="dxa"/>
            <w:tcBorders/>
            <w:shd w:color="auto" w:fill="FFFFFF" w:themeFill="background1" w:val="clear"/>
          </w:tcPr>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 открыто два счета.</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В течение отчетного периода на счет "А" поступило 400 тыс. руб.; на счет "Б" – </w:t>
              <w:br/>
              <w:t>300 тыс. руб.</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Сначала со счета "А" на счет "Б" переведены 200 тыс. руб., потом со счета "Б" </w:t>
              <w:br/>
              <w:t>на счет "А" – 500 тыс. руб.</w:t>
            </w:r>
          </w:p>
          <w:p>
            <w:pPr>
              <w:pStyle w:val="Normal"/>
              <w:widowControl w:val="false"/>
              <w:tabs>
                <w:tab w:val="clear" w:pos="709"/>
                <w:tab w:val="left" w:pos="454" w:leader="none"/>
                <w:tab w:val="left" w:pos="9390" w:leader="none"/>
              </w:tabs>
              <w:suppressAutoHyphens w:val="true"/>
              <w:spacing w:before="0" w:after="0"/>
              <w:ind w:left="0" w:right="0"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val="false"/>
              <w:numPr>
                <w:ilvl w:val="0"/>
                <w:numId w:val="9"/>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перераспределение (оборот) денежных средств по счетам составил 1400 тыс. руб.;</w:t>
            </w:r>
          </w:p>
          <w:p>
            <w:pPr>
              <w:pStyle w:val="ListParagraph"/>
              <w:widowControl w:val="false"/>
              <w:numPr>
                <w:ilvl w:val="0"/>
                <w:numId w:val="9"/>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сумма денежных средств, поступивших на счета, – 700 тыс. руб.</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rPr/>
        <w:tc>
          <w:tcPr>
            <w:tcW w:w="10195" w:type="dxa"/>
            <w:tcBorders/>
            <w:shd w:color="auto" w:fill="FFFFFF" w:themeFill="background1" w:val="clear"/>
          </w:tcPr>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По состоянию на отчетную дату и в течение отчетного периода у служащего (работника)открыто два счета.</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 xml:space="preserve">В течение отчетного периода на счет "А" поступило 500 тыс. руб. Впоследствии </w:t>
              <w:br/>
              <w:t>со счета "А" в банкомате сняли 500 тыс. руб. и зачислили их также с помощью банкомата на счет "Б".</w:t>
            </w:r>
          </w:p>
          <w:p>
            <w:pPr>
              <w:pStyle w:val="Normal"/>
              <w:widowControl w:val="false"/>
              <w:tabs>
                <w:tab w:val="clear" w:pos="709"/>
                <w:tab w:val="left" w:pos="454" w:leader="none"/>
                <w:tab w:val="left" w:pos="9390" w:leader="none"/>
              </w:tabs>
              <w:suppressAutoHyphens w:val="true"/>
              <w:spacing w:before="0" w:after="0"/>
              <w:ind w:left="0" w:right="0" w:hanging="0"/>
              <w:rPr>
                <w:rFonts w:ascii="Times New Roman" w:hAnsi="Times New Roman"/>
                <w:iCs/>
                <w:sz w:val="28"/>
                <w:szCs w:val="28"/>
              </w:rPr>
            </w:pPr>
            <w:r>
              <w:rPr>
                <w:rFonts w:eastAsia="Calibri" w:cs="Times New Roman" w:ascii="Times New Roman" w:hAnsi="Times New Roman"/>
                <w:iCs/>
                <w:kern w:val="0"/>
                <w:sz w:val="28"/>
                <w:szCs w:val="28"/>
                <w:lang w:val="ru-RU" w:bidi="ar-SA"/>
              </w:rPr>
              <w:t>В данном примере:</w:t>
            </w:r>
          </w:p>
          <w:p>
            <w:pPr>
              <w:pStyle w:val="ListParagraph"/>
              <w:widowControl w:val="false"/>
              <w:numPr>
                <w:ilvl w:val="0"/>
                <w:numId w:val="11"/>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перераспределение (оборот) денежных средств по счетам составил 1000 тыс. руб.;</w:t>
            </w:r>
          </w:p>
          <w:p>
            <w:pPr>
              <w:pStyle w:val="ListParagraph"/>
              <w:widowControl w:val="false"/>
              <w:numPr>
                <w:ilvl w:val="0"/>
                <w:numId w:val="11"/>
              </w:numPr>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сумма денежных средств, поступивших на счета, – 1000 тыс. руб.</w:t>
            </w:r>
          </w:p>
          <w:p>
            <w:pPr>
              <w:pStyle w:val="ListParagraph"/>
              <w:widowControl w:val="false"/>
              <w:tabs>
                <w:tab w:val="clear" w:pos="709"/>
                <w:tab w:val="left" w:pos="454" w:leader="none"/>
                <w:tab w:val="left" w:pos="9390" w:leader="none"/>
              </w:tabs>
              <w:suppressAutoHyphens w:val="true"/>
              <w:spacing w:before="0" w:after="0"/>
              <w:ind w:left="0" w:right="0" w:hanging="0"/>
              <w:contextualSpacing/>
              <w:rPr>
                <w:rFonts w:ascii="Times New Roman" w:hAnsi="Times New Roman"/>
                <w:iCs/>
                <w:sz w:val="28"/>
                <w:szCs w:val="28"/>
              </w:rPr>
            </w:pPr>
            <w:r>
              <w:rPr>
                <w:rFonts w:eastAsia="Calibri" w:cs="Times New Roman" w:ascii="Times New Roman" w:hAnsi="Times New Roman"/>
                <w:iCs/>
                <w:kern w:val="0"/>
                <w:sz w:val="28"/>
                <w:szCs w:val="28"/>
                <w:lang w:val="ru-RU" w:bidi="ar-SA"/>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 </w:t>
      </w:r>
      <w:r>
        <w:rPr>
          <w:rFonts w:ascii="Times New Roman" w:hAnsi="Times New Roman"/>
          <w:sz w:val="28"/>
          <w:szCs w:val="28"/>
        </w:rPr>
        <w:t>при отсутствии оснований не является нарушением.</w:t>
      </w:r>
    </w:p>
    <w:p>
      <w:pPr>
        <w:pStyle w:val="Normal"/>
        <w:ind w:firstLine="567"/>
        <w:rPr>
          <w:rFonts w:ascii="Times New Roman" w:hAnsi="Times New Roman"/>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3"/>
          <w:rFonts w:ascii="Times New Roman" w:hAnsi="Times New Roman" w:cs="Times New Roman"/>
          <w:sz w:val="28"/>
          <w:szCs w:val="28"/>
        </w:rPr>
      </w:pPr>
      <w:r>
        <w:rPr>
          <w:rStyle w:val="Style13"/>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3"/>
          <w:rFonts w:ascii="Times New Roman" w:hAnsi="Times New Roman" w:cs="Times New Roman"/>
          <w:sz w:val="28"/>
          <w:szCs w:val="28"/>
        </w:rPr>
      </w:pPr>
      <w:r>
        <w:rPr>
          <w:rStyle w:val="Style13"/>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sz w:val="28"/>
          <w:szCs w:val="28"/>
        </w:rPr>
      </w:pPr>
      <w:r>
        <w:rPr>
          <w:rFonts w:ascii="Times New Roman" w:hAnsi="Times New Roman"/>
          <w:b/>
          <w:sz w:val="28"/>
          <w:szCs w:val="28"/>
        </w:rPr>
        <w:t xml:space="preserve">Кредитные карты, карты с овердрафтом, электронные средства платежа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6):</w:t>
      </w:r>
    </w:p>
    <w:tbl>
      <w:tblPr>
        <w:tblStyle w:val="af4"/>
        <w:tblW w:w="10348"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126"/>
        <w:gridCol w:w="8221"/>
      </w:tblGrid>
      <w:tr>
        <w:trPr/>
        <w:tc>
          <w:tcPr>
            <w:tcW w:w="2126" w:type="dxa"/>
            <w:tcBorders/>
          </w:tcPr>
          <w:p>
            <w:pPr>
              <w:pStyle w:val="ListParagraph"/>
              <w:widowControl w:val="false"/>
              <w:suppressAutoHyphens w:val="true"/>
              <w:spacing w:before="0" w:after="0"/>
              <w:ind w:left="0" w:righ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Расчетная (дебетовая)</w:t>
            </w:r>
          </w:p>
        </w:tc>
        <w:tc>
          <w:tcPr>
            <w:tcW w:w="8221" w:type="dxa"/>
            <w:tcBorders/>
          </w:tcPr>
          <w:p>
            <w:pPr>
              <w:pStyle w:val="ListParagraph"/>
              <w:widowControl w:val="false"/>
              <w:suppressAutoHyphens w:val="true"/>
              <w:spacing w:before="0" w:after="0"/>
              <w:ind w:left="0" w:righ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val="false"/>
              <w:suppressAutoHyphens w:val="true"/>
              <w:spacing w:before="0" w:after="0"/>
              <w:ind w:left="0" w:righ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Кредитная</w:t>
            </w:r>
          </w:p>
        </w:tc>
        <w:tc>
          <w:tcPr>
            <w:tcW w:w="8221" w:type="dxa"/>
            <w:tcBorders/>
          </w:tcPr>
          <w:p>
            <w:pPr>
              <w:pStyle w:val="ListParagraph"/>
              <w:widowControl w:val="false"/>
              <w:suppressAutoHyphens w:val="true"/>
              <w:spacing w:before="0" w:after="0"/>
              <w:ind w:left="0" w:righ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w:t>
        <w:br/>
        <w:t xml:space="preserve">может быть получена в ФНС России. Информацией о ранее открытых счетах </w:t>
        <w:br/>
        <w:t xml:space="preserve">в банках (если такие счета не закрывались либо по ним не было изменений) </w:t>
        <w:br/>
        <w:t xml:space="preserve">налоговые органы не располагают. Порядок обращения за данными </w:t>
        <w:br/>
        <w:t xml:space="preserve">сведениями изложен на официальном сайте ФНС России по ссылке: </w:t>
      </w:r>
      <w:hyperlink r:id="rId26" w:tgtFrame="https://www.nalog.ru/rn77/related_activities/accounting/bank_account/">
        <w:r>
          <w:rPr>
            <w:rStyle w:val="-"/>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w:t>
      </w:r>
      <w:r>
        <w:rPr>
          <w:rFonts w:ascii="Times New Roman" w:hAnsi="Times New Roman"/>
          <w:sz w:val="28"/>
          <w:szCs w:val="28"/>
        </w:rPr>
        <w:t>:</w:t>
      </w:r>
    </w:p>
    <w:p>
      <w:pPr>
        <w:pStyle w:val="ListParagraph"/>
        <w:numPr>
          <w:ilvl w:val="1"/>
          <w:numId w:val="1"/>
        </w:numPr>
        <w:ind w:left="0" w:firstLine="567"/>
        <w:rPr>
          <w:rFonts w:ascii="Times New Roman" w:hAnsi="Times New Roman"/>
          <w:sz w:val="28"/>
          <w:szCs w:val="28"/>
        </w:rPr>
      </w:pPr>
      <w:r>
        <w:rPr>
          <w:rFonts w:ascii="Times New Roman" w:hAnsi="Times New Roman"/>
          <w:sz w:val="28"/>
        </w:rPr>
        <w:t>счета</w:t>
      </w:r>
      <w:r>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pPr>
        <w:pStyle w:val="ListParagraph"/>
        <w:numPr>
          <w:ilvl w:val="1"/>
          <w:numId w:val="1"/>
        </w:numPr>
        <w:ind w:left="0" w:firstLine="567"/>
        <w:rPr>
          <w:rFonts w:ascii="Times New Roman" w:hAnsi="Times New Roman"/>
          <w:sz w:val="28"/>
          <w:szCs w:val="28"/>
        </w:rPr>
      </w:pPr>
      <w:r>
        <w:rPr>
          <w:rFonts w:ascii="Times New Roman" w:hAnsi="Times New Roman"/>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pPr>
        <w:pStyle w:val="ListParagraph"/>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 в том числе "электронные кошельки" (например, "ЮMoney", "</w:t>
      </w:r>
      <w:r>
        <w:rPr>
          <w:rFonts w:ascii="Times New Roman" w:hAnsi="Times New Roman"/>
          <w:sz w:val="28"/>
          <w:szCs w:val="28"/>
          <w:lang w:val="en-US"/>
        </w:rPr>
        <w:t>Qiwi</w:t>
      </w:r>
      <w:r>
        <w:rPr>
          <w:rFonts w:ascii="Times New Roman" w:hAnsi="Times New Roman"/>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pPr>
        <w:pStyle w:val="Normal"/>
        <w:rPr>
          <w:rFonts w:ascii="Times New Roman" w:hAnsi="Times New Roman"/>
          <w:sz w:val="28"/>
          <w:szCs w:val="28"/>
        </w:rPr>
      </w:pPr>
      <w:r>
        <w:rPr>
          <w:rFonts w:ascii="Times New Roman" w:hAnsi="Times New Roman"/>
          <w:sz w:val="28"/>
          <w:szCs w:val="28"/>
        </w:rPr>
        <w:t>Под 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7" w:tgtFrame="https://www.cbr.ru/banking_sector/likvidbase/">
        <w:r>
          <w:rPr>
            <w:rStyle w:val="-"/>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b/>
          <w:sz w:val="28"/>
        </w:rPr>
        <w:t>"</w:t>
      </w:r>
      <w:r>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Местонахождение организации (адрес)</w:t>
      </w:r>
      <w:r>
        <w:rPr>
          <w:rFonts w:ascii="Times New Roman" w:hAnsi="Times New Roman"/>
          <w:b/>
          <w:sz w:val="28"/>
        </w:rPr>
        <w:t>"</w:t>
      </w:r>
      <w:r>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5" w:name="Par620"/>
      <w:bookmarkEnd w:id="5"/>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w:t>
      </w:r>
      <w:r>
        <w:rPr>
          <w:rFonts w:ascii="Times New Roman" w:hAnsi="Times New Roman"/>
          <w:b/>
          <w:sz w:val="28"/>
        </w:rPr>
        <w:t>"Общая стоимость</w:t>
      </w:r>
      <w:r>
        <w:rPr>
          <w:rFonts w:ascii="Times New Roman" w:hAnsi="Times New Roman"/>
          <w:b/>
          <w:sz w:val="28"/>
          <w:szCs w:val="28"/>
        </w:rPr>
        <w:t xml:space="preserve"> (руб.)"</w:t>
      </w:r>
      <w:r>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Номинальная величина обязательства (руб.)"</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Общая стоимость (руб.)"</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8">
        <w:r>
          <w:rPr>
            <w:rStyle w:val="-"/>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 xml:space="preserve">РАЗДЕЛ 6. СВЕДЕНИЯ ОБ ОБЯЗАТЕЛЬСТВАХ </w:t>
      </w:r>
    </w:p>
    <w:p>
      <w:pPr>
        <w:pStyle w:val="Normal"/>
        <w:ind w:hanging="0"/>
        <w:jc w:val="center"/>
        <w:rPr>
          <w:rFonts w:ascii="Times New Roman" w:hAnsi="Times New Roman"/>
          <w:b/>
          <w:sz w:val="28"/>
          <w:szCs w:val="28"/>
        </w:rPr>
      </w:pPr>
      <w:r>
        <w:rPr>
          <w:rFonts w:ascii="Times New Roman" w:hAnsi="Times New Roman"/>
          <w:b/>
          <w:sz w:val="28"/>
          <w:szCs w:val="28"/>
        </w:rPr>
        <w:t>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6" w:name="Par626"/>
      <w:bookmarkEnd w:id="6"/>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Вид и сроки пользования</w:t>
      </w:r>
      <w:r>
        <w:rPr>
          <w:rFonts w:ascii="Times New Roman" w:hAnsi="Times New Roman"/>
          <w:b/>
          <w:sz w:val="28"/>
        </w:rPr>
        <w:t>"</w:t>
      </w:r>
      <w:r>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7" w:name="Par627"/>
      <w:bookmarkEnd w:id="7"/>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пользования</w:t>
      </w:r>
      <w:r>
        <w:rPr>
          <w:rFonts w:ascii="Times New Roman" w:hAnsi="Times New Roman"/>
          <w:b/>
          <w:sz w:val="28"/>
        </w:rPr>
        <w:t>"</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w:t>
      </w:r>
      <w:r>
        <w:rPr>
          <w:rFonts w:ascii="Times New Roman" w:hAnsi="Times New Roman"/>
          <w:b/>
          <w:sz w:val="28"/>
          <w:szCs w:val="28"/>
        </w:rPr>
        <w:t>Площадь (кв. м)</w:t>
      </w:r>
      <w:r>
        <w:rPr>
          <w:rFonts w:ascii="Times New Roman" w:hAnsi="Times New Roman"/>
          <w:b/>
          <w:sz w:val="28"/>
        </w:rPr>
        <w:t>"</w:t>
      </w:r>
      <w:r>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29"/>
      <w:bookmarkEnd w:id="8"/>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Содержание обязательства</w:t>
      </w:r>
      <w:r>
        <w:rPr>
          <w:rFonts w:ascii="Times New Roman" w:hAnsi="Times New Roman"/>
          <w:b/>
          <w:sz w:val="28"/>
        </w:rPr>
        <w:t>"</w:t>
      </w:r>
      <w:r>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Кредитор (должник)</w:t>
      </w:r>
      <w:r>
        <w:rPr>
          <w:rFonts w:ascii="Times New Roman" w:hAnsi="Times New Roman"/>
          <w:b/>
          <w:sz w:val="28"/>
        </w:rPr>
        <w:t>"</w:t>
      </w:r>
      <w:r>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9" w:name="Par631"/>
      <w:bookmarkEnd w:id="9"/>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возникновения</w:t>
      </w:r>
      <w:r>
        <w:rPr>
          <w:rFonts w:ascii="Times New Roman" w:hAnsi="Times New Roman"/>
          <w:b/>
          <w:sz w:val="28"/>
        </w:rPr>
        <w:t>"</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b/>
          <w:sz w:val="28"/>
        </w:rPr>
        <w:t xml:space="preserve">" </w:t>
      </w:r>
      <w:r>
        <w:rPr>
          <w:rFonts w:ascii="Times New Roman" w:hAnsi="Times New Roman"/>
          <w:sz w:val="28"/>
          <w:szCs w:val="28"/>
        </w:rPr>
        <w:t xml:space="preserve">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9" w:tgtFrame="https://www.cbr.ru/currency_base/daily/">
        <w:r>
          <w:rPr>
            <w:rStyle w:val="-"/>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10" w:name="Par633"/>
      <w:bookmarkEnd w:id="10"/>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Условия обязательства</w:t>
      </w:r>
      <w:r>
        <w:rPr>
          <w:rFonts w:ascii="Times New Roman" w:hAnsi="Times New Roman"/>
          <w:b/>
          <w:sz w:val="28"/>
        </w:rPr>
        <w:t>"</w:t>
      </w:r>
      <w:r>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sz w:val="28"/>
          <w:szCs w:val="28"/>
        </w:rPr>
        <w:t>"Кредитор (должник)"</w:t>
      </w:r>
      <w:r>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szCs w:val="28"/>
        </w:rPr>
        <w:t xml:space="preserve">можно отразить, что денежные средства переданы застройщику в полном объеме.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szCs w:val="28"/>
        </w:rPr>
        <w:t>"Условие обязательства"</w:t>
      </w:r>
      <w:r>
        <w:rPr>
          <w:rFonts w:ascii="Times New Roman" w:hAnsi="Times New Roman"/>
          <w:sz w:val="28"/>
          <w:szCs w:val="28"/>
        </w:rPr>
        <w:t xml:space="preserve">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"Содержание обязательства"</w:t>
      </w:r>
      <w:r>
        <w:rPr>
          <w:rFonts w:ascii="Times New Roman" w:hAnsi="Times New Roman"/>
          <w:sz w:val="28"/>
          <w:szCs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szCs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szCs w:val="28"/>
        </w:rPr>
        <w:t xml:space="preserve">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строках </w:t>
      </w:r>
      <w:r>
        <w:rPr>
          <w:rFonts w:ascii="Times New Roman" w:hAnsi="Times New Roman"/>
          <w:b/>
          <w:sz w:val="28"/>
        </w:rPr>
        <w:t>"Земельные участки"</w:t>
      </w:r>
      <w:r>
        <w:rPr>
          <w:rFonts w:ascii="Times New Roman" w:hAnsi="Times New Roman"/>
          <w:sz w:val="28"/>
          <w:szCs w:val="28"/>
        </w:rPr>
        <w:t xml:space="preserve"> и </w:t>
      </w:r>
      <w:r>
        <w:rPr>
          <w:rFonts w:ascii="Times New Roman" w:hAnsi="Times New Roman"/>
          <w:b/>
          <w:sz w:val="28"/>
        </w:rPr>
        <w:t>"Иное недвижимое имущество"</w:t>
      </w:r>
      <w:r>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"Транспортные средства"</w:t>
      </w:r>
      <w:r>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"Ценные бумаги"</w:t>
      </w:r>
      <w:r>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финансовые активы"</w:t>
      </w:r>
      <w:r>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"Утилитарные цифровые права"</w:t>
      </w:r>
      <w:r>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"Цифровая валюта"</w:t>
      </w:r>
      <w:r>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w:t>
      </w:r>
      <w:r>
        <w:rPr>
          <w:rFonts w:ascii="Times New Roman" w:hAnsi="Times New Roman"/>
          <w:b/>
          <w:sz w:val="28"/>
        </w:rPr>
        <w:t>"Приобретатель имущества</w:t>
      </w:r>
      <w:r>
        <w:rPr>
          <w:rFonts w:ascii="Times New Roman" w:hAnsi="Times New Roman"/>
          <w:b/>
          <w:bCs/>
          <w:sz w:val="28"/>
          <w:szCs w:val="28"/>
        </w:rPr>
        <w:t xml:space="preserve"> (права)</w:t>
      </w:r>
      <w:r>
        <w:rPr>
          <w:rFonts w:ascii="Times New Roman" w:hAnsi="Times New Roman"/>
          <w:b/>
          <w:sz w:val="28"/>
        </w:rPr>
        <w:t xml:space="preserve"> по сделке"</w:t>
      </w:r>
      <w:r>
        <w:rPr>
          <w:rFonts w:ascii="Times New Roman" w:hAnsi="Times New Roman"/>
          <w:bCs/>
          <w:sz w:val="28"/>
          <w:szCs w:val="28"/>
        </w:rPr>
        <w:t xml:space="preserve">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3"/>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3"/>
          <w:rFonts w:ascii="Times New Roman" w:hAnsi="Times New Roman" w:cs="Times New Roman"/>
          <w:sz w:val="28"/>
          <w:szCs w:val="28"/>
          <w:shd w:fill="auto" w:val="clear"/>
        </w:rPr>
      </w:pPr>
      <w:r>
        <w:rPr>
          <w:rStyle w:val="Style13"/>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3"/>
          <w:rFonts w:ascii="Times New Roman" w:hAnsi="Times New Roman" w:cs="Times New Roman"/>
          <w:b/>
          <w:sz w:val="28"/>
          <w:szCs w:val="28"/>
          <w:shd w:fill="auto" w:val="clear"/>
        </w:rPr>
      </w:pPr>
      <w:r>
        <w:rPr>
          <w:rStyle w:val="Style13"/>
          <w:rFonts w:cs="Times New Roman" w:ascii="Times New Roman" w:hAnsi="Times New Roman"/>
          <w:sz w:val="28"/>
          <w:szCs w:val="28"/>
          <w:shd w:fill="auto" w:val="clear"/>
        </w:rPr>
        <w:t xml:space="preserve">В графе </w:t>
      </w:r>
      <w:r>
        <w:rPr>
          <w:rStyle w:val="Style13"/>
          <w:rFonts w:ascii="Times New Roman" w:hAnsi="Times New Roman"/>
          <w:b/>
          <w:sz w:val="28"/>
          <w:shd w:fill="auto" w:val="clear"/>
        </w:rPr>
        <w:t>"Основание отчуждения имущества</w:t>
      </w:r>
      <w:r>
        <w:rPr>
          <w:rStyle w:val="Style13"/>
          <w:rFonts w:cs="Times New Roman" w:ascii="Times New Roman" w:hAnsi="Times New Roman"/>
          <w:b/>
          <w:sz w:val="28"/>
          <w:szCs w:val="28"/>
          <w:shd w:fill="auto" w:val="clear"/>
        </w:rPr>
        <w:t xml:space="preserve"> (права)"</w:t>
      </w:r>
      <w:r>
        <w:rPr>
          <w:rStyle w:val="Style13"/>
          <w:rFonts w:cs="Times New Roman" w:ascii="Times New Roman" w:hAnsi="Times New Roman"/>
          <w:sz w:val="28"/>
          <w:szCs w:val="28"/>
          <w:shd w:fill="auto" w:val="clear"/>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3"/>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ListParagraph"/>
        <w:widowControl w:val="false"/>
        <w:ind w:left="567" w:hanging="0"/>
        <w:rPr>
          <w:rStyle w:val="Style13"/>
          <w:rFonts w:ascii="Times New Roman" w:hAnsi="Times New Roman" w:cs="Times New Roman"/>
          <w:b/>
          <w:sz w:val="28"/>
          <w:szCs w:val="28"/>
          <w:shd w:fill="auto" w:val="clear"/>
        </w:rPr>
      </w:pPr>
      <w:r>
        <w:rPr>
          <w:rFonts w:cs="Times New Roman" w:ascii="Times New Roman" w:hAnsi="Times New Roman"/>
          <w:b/>
          <w:sz w:val="28"/>
          <w:szCs w:val="28"/>
          <w:shd w:fill="auto" w:val="clear"/>
        </w:rPr>
      </w:r>
    </w:p>
    <w:p>
      <w:pPr>
        <w:pStyle w:val="ListParagraph"/>
        <w:ind w:left="0" w:firstLine="709"/>
        <w:jc w:val="center"/>
        <w:rPr>
          <w:rStyle w:val="Style13"/>
          <w:rFonts w:ascii="Times New Roman" w:hAnsi="Times New Roman" w:eastAsia="Times New Roman" w:cs="Times New Roman"/>
          <w:sz w:val="20"/>
          <w:szCs w:val="20"/>
          <w:shd w:fill="auto" w:val="clear"/>
        </w:rPr>
      </w:pPr>
      <w:r>
        <w:rPr>
          <w:rFonts w:eastAsia="Times New Roman" w:cs="Times New Roman" w:ascii="Times New Roman" w:hAnsi="Times New Roman"/>
          <w:sz w:val="20"/>
          <w:szCs w:val="20"/>
          <w:shd w:fill="auto" w:val="clear"/>
        </w:rPr>
      </w:r>
    </w:p>
    <w:sectPr>
      <w:headerReference w:type="default" r:id="rId30"/>
      <w:type w:val="nextPage"/>
      <w:pgSz w:w="11906" w:h="16838"/>
      <w:pgMar w:left="1134" w:right="567" w:gutter="0" w:header="454"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Courier New">
    <w:charset w:val="01"/>
    <w:family w:val="roman"/>
    <w:pitch w:val="default"/>
  </w:font>
  <w:font w:name="Times New Roman">
    <w:charset w:val="01"/>
    <w:family w:val="roman"/>
    <w:pitch w:val="variable"/>
  </w:font>
  <w:font w:name="Segoe UI Symbo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xml:space="preserve"> PAGE </w:instrText>
    </w:r>
    <w:r>
      <w:rPr>
        <w:sz w:val="28"/>
        <w:rFonts w:eastAsia="Times New Roman" w:ascii="Times New Roman" w:hAnsi="Times New Roman"/>
      </w:rPr>
      <w:fldChar w:fldCharType="separate"/>
    </w:r>
    <w:r>
      <w:rPr>
        <w:sz w:val="28"/>
        <w:rFonts w:eastAsia="Times New Roman" w:ascii="Times New Roman" w:hAnsi="Times New Roman"/>
      </w:rPr>
      <w:t>64</w:t>
    </w:r>
    <w:r>
      <w:rPr>
        <w:sz w:val="28"/>
        <w:rFonts w:eastAsia="Times New Roman"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rPr/>
    </w:lvl>
    <w:lvl w:ilvl="2">
      <w:start w:val="1"/>
      <w:numFmt w:val="lowerRoman"/>
      <w:lvlText w:val="%3."/>
      <w:lvlJc w:val="right"/>
      <w:pPr>
        <w:tabs>
          <w:tab w:val="num" w:pos="0"/>
        </w:tabs>
        <w:ind w:left="3578" w:hanging="180"/>
      </w:pPr>
      <w:rPr/>
    </w:lvl>
    <w:lvl w:ilvl="3">
      <w:start w:val="1"/>
      <w:numFmt w:val="decimal"/>
      <w:lvlText w:val="%4."/>
      <w:lvlJc w:val="left"/>
      <w:pPr>
        <w:tabs>
          <w:tab w:val="num" w:pos="0"/>
        </w:tabs>
        <w:ind w:left="4298" w:hanging="360"/>
      </w:pPr>
      <w:rPr/>
    </w:lvl>
    <w:lvl w:ilvl="4">
      <w:start w:val="1"/>
      <w:numFmt w:val="lowerLetter"/>
      <w:lvlText w:val="%5."/>
      <w:lvlJc w:val="left"/>
      <w:pPr>
        <w:tabs>
          <w:tab w:val="num" w:pos="0"/>
        </w:tabs>
        <w:ind w:left="5018" w:hanging="360"/>
      </w:pPr>
      <w:rPr/>
    </w:lvl>
    <w:lvl w:ilvl="5">
      <w:start w:val="1"/>
      <w:numFmt w:val="lowerRoman"/>
      <w:lvlText w:val="%6."/>
      <w:lvlJc w:val="right"/>
      <w:pPr>
        <w:tabs>
          <w:tab w:val="num" w:pos="0"/>
        </w:tabs>
        <w:ind w:left="5738" w:hanging="180"/>
      </w:pPr>
      <w:rPr/>
    </w:lvl>
    <w:lvl w:ilvl="6">
      <w:start w:val="1"/>
      <w:numFmt w:val="decimal"/>
      <w:lvlText w:val="%7."/>
      <w:lvlJc w:val="left"/>
      <w:pPr>
        <w:tabs>
          <w:tab w:val="num" w:pos="0"/>
        </w:tabs>
        <w:ind w:left="6458" w:hanging="360"/>
      </w:pPr>
      <w:rPr/>
    </w:lvl>
    <w:lvl w:ilvl="7">
      <w:start w:val="1"/>
      <w:numFmt w:val="lowerLetter"/>
      <w:lvlText w:val="%8."/>
      <w:lvlJc w:val="left"/>
      <w:pPr>
        <w:tabs>
          <w:tab w:val="num" w:pos="0"/>
        </w:tabs>
        <w:ind w:left="7178" w:hanging="360"/>
      </w:pPr>
      <w:rPr/>
    </w:lvl>
    <w:lvl w:ilvl="8">
      <w:start w:val="1"/>
      <w:numFmt w:val="lowerRoman"/>
      <w:lvlText w:val="%9."/>
      <w:lvlJc w:val="right"/>
      <w:pPr>
        <w:tabs>
          <w:tab w:val="num" w:pos="0"/>
        </w:tabs>
        <w:ind w:left="7898" w:hanging="180"/>
      </w:pPr>
      <w:r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rPr/>
    </w:lvl>
    <w:lvl w:ilvl="2">
      <w:start w:val="1"/>
      <w:numFmt w:val="lowerRoman"/>
      <w:lvlText w:val="%3."/>
      <w:lvlJc w:val="right"/>
      <w:pPr>
        <w:tabs>
          <w:tab w:val="num" w:pos="0"/>
        </w:tabs>
        <w:ind w:left="3011" w:hanging="180"/>
      </w:pPr>
      <w:rPr/>
    </w:lvl>
    <w:lvl w:ilvl="3">
      <w:start w:val="1"/>
      <w:numFmt w:val="decimal"/>
      <w:lvlText w:val="%4."/>
      <w:lvlJc w:val="left"/>
      <w:pPr>
        <w:tabs>
          <w:tab w:val="num" w:pos="0"/>
        </w:tabs>
        <w:ind w:left="3731" w:hanging="360"/>
      </w:pPr>
      <w:rPr/>
    </w:lvl>
    <w:lvl w:ilvl="4">
      <w:start w:val="1"/>
      <w:numFmt w:val="lowerLetter"/>
      <w:lvlText w:val="%5."/>
      <w:lvlJc w:val="left"/>
      <w:pPr>
        <w:tabs>
          <w:tab w:val="num" w:pos="0"/>
        </w:tabs>
        <w:ind w:left="4451" w:hanging="360"/>
      </w:pPr>
      <w:rPr/>
    </w:lvl>
    <w:lvl w:ilvl="5">
      <w:start w:val="1"/>
      <w:numFmt w:val="lowerRoman"/>
      <w:lvlText w:val="%6."/>
      <w:lvlJc w:val="right"/>
      <w:pPr>
        <w:tabs>
          <w:tab w:val="num" w:pos="0"/>
        </w:tabs>
        <w:ind w:left="5171" w:hanging="180"/>
      </w:pPr>
      <w:rPr/>
    </w:lvl>
    <w:lvl w:ilvl="6">
      <w:start w:val="1"/>
      <w:numFmt w:val="decimal"/>
      <w:lvlText w:val="%7."/>
      <w:lvlJc w:val="left"/>
      <w:pPr>
        <w:tabs>
          <w:tab w:val="num" w:pos="0"/>
        </w:tabs>
        <w:ind w:left="5891" w:hanging="360"/>
      </w:pPr>
      <w:rPr/>
    </w:lvl>
    <w:lvl w:ilvl="7">
      <w:start w:val="1"/>
      <w:numFmt w:val="lowerLetter"/>
      <w:lvlText w:val="%8."/>
      <w:lvlJc w:val="left"/>
      <w:pPr>
        <w:tabs>
          <w:tab w:val="num" w:pos="0"/>
        </w:tabs>
        <w:ind w:left="6611" w:hanging="360"/>
      </w:pPr>
      <w:rPr/>
    </w:lvl>
    <w:lvl w:ilvl="8">
      <w:start w:val="1"/>
      <w:numFmt w:val="lowerRoman"/>
      <w:lvlText w:val="%9."/>
      <w:lvlJc w:val="right"/>
      <w:pPr>
        <w:tabs>
          <w:tab w:val="num" w:pos="0"/>
        </w:tabs>
        <w:ind w:left="7331" w:hanging="180"/>
      </w:pPr>
      <w:rPr/>
    </w:lvl>
  </w:abstractNum>
  <w:abstractNum w:abstractNumId="3">
    <w:lvl w:ilvl="0">
      <w:start w:val="1"/>
      <w:numFmt w:val="decimal"/>
      <w:lvlText w:val="%1)"/>
      <w:lvlJc w:val="left"/>
      <w:pPr>
        <w:tabs>
          <w:tab w:val="num" w:pos="0"/>
        </w:tabs>
        <w:ind w:left="928" w:hanging="360"/>
      </w:pPr>
      <w:rPr/>
    </w:lvl>
    <w:lvl w:ilvl="1">
      <w:start w:val="1"/>
      <w:numFmt w:val="lowerLetter"/>
      <w:lvlText w:val="%2."/>
      <w:lvlJc w:val="left"/>
      <w:pPr>
        <w:tabs>
          <w:tab w:val="num" w:pos="0"/>
        </w:tabs>
        <w:ind w:left="2265" w:hanging="360"/>
      </w:pPr>
      <w:rPr/>
    </w:lvl>
    <w:lvl w:ilvl="2">
      <w:start w:val="1"/>
      <w:numFmt w:val="lowerRoman"/>
      <w:lvlText w:val="%3."/>
      <w:lvlJc w:val="right"/>
      <w:pPr>
        <w:tabs>
          <w:tab w:val="num" w:pos="0"/>
        </w:tabs>
        <w:ind w:left="2985" w:hanging="180"/>
      </w:pPr>
      <w:rPr/>
    </w:lvl>
    <w:lvl w:ilvl="3">
      <w:start w:val="1"/>
      <w:numFmt w:val="decimal"/>
      <w:lvlText w:val="%4."/>
      <w:lvlJc w:val="left"/>
      <w:pPr>
        <w:tabs>
          <w:tab w:val="num" w:pos="0"/>
        </w:tabs>
        <w:ind w:left="3705" w:hanging="360"/>
      </w:pPr>
      <w:rPr/>
    </w:lvl>
    <w:lvl w:ilvl="4">
      <w:start w:val="1"/>
      <w:numFmt w:val="lowerLetter"/>
      <w:lvlText w:val="%5."/>
      <w:lvlJc w:val="left"/>
      <w:pPr>
        <w:tabs>
          <w:tab w:val="num" w:pos="0"/>
        </w:tabs>
        <w:ind w:left="4425" w:hanging="360"/>
      </w:pPr>
      <w:rPr/>
    </w:lvl>
    <w:lvl w:ilvl="5">
      <w:start w:val="1"/>
      <w:numFmt w:val="lowerRoman"/>
      <w:lvlText w:val="%6."/>
      <w:lvlJc w:val="right"/>
      <w:pPr>
        <w:tabs>
          <w:tab w:val="num" w:pos="0"/>
        </w:tabs>
        <w:ind w:left="5145" w:hanging="180"/>
      </w:pPr>
      <w:rPr/>
    </w:lvl>
    <w:lvl w:ilvl="6">
      <w:start w:val="1"/>
      <w:numFmt w:val="decimal"/>
      <w:lvlText w:val="%7."/>
      <w:lvlJc w:val="left"/>
      <w:pPr>
        <w:tabs>
          <w:tab w:val="num" w:pos="0"/>
        </w:tabs>
        <w:ind w:left="5865" w:hanging="360"/>
      </w:pPr>
      <w:rPr/>
    </w:lvl>
    <w:lvl w:ilvl="7">
      <w:start w:val="1"/>
      <w:numFmt w:val="lowerLetter"/>
      <w:lvlText w:val="%8."/>
      <w:lvlJc w:val="left"/>
      <w:pPr>
        <w:tabs>
          <w:tab w:val="num" w:pos="0"/>
        </w:tabs>
        <w:ind w:left="6585" w:hanging="360"/>
      </w:pPr>
      <w:rPr/>
    </w:lvl>
    <w:lvl w:ilvl="8">
      <w:start w:val="1"/>
      <w:numFmt w:val="lowerRoman"/>
      <w:lvlText w:val="%9."/>
      <w:lvlJc w:val="right"/>
      <w:pPr>
        <w:tabs>
          <w:tab w:val="num" w:pos="0"/>
        </w:tabs>
        <w:ind w:left="7305" w:hanging="180"/>
      </w:pPr>
      <w:rPr/>
    </w:lvl>
  </w:abstractNum>
  <w:abstractNum w:abstractNumId="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ind w:firstLine="709"/>
      <w:jc w:val="both"/>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1"/>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31" w:customStyle="1">
    <w:name w:val="Заголовок 3 Знак"/>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61" w:customStyle="1">
    <w:name w:val="Заголовок 6 Знак"/>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Название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2"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uiPriority w:val="99"/>
    <w:qFormat/>
    <w:rPr>
      <w:sz w:val="20"/>
    </w:rPr>
  </w:style>
  <w:style w:type="character" w:styleId="Style9">
    <w:name w:val="Символ концевой сноски"/>
    <w:uiPriority w:val="99"/>
    <w:semiHidden/>
    <w:unhideWhenUsed/>
    <w:qFormat/>
    <w:rPr>
      <w:vertAlign w:val="superscript"/>
    </w:rPr>
  </w:style>
  <w:style w:type="character" w:styleId="Style10">
    <w:name w:val="Endnote Reference"/>
    <w:rPr>
      <w:vertAlign w:val="superscript"/>
    </w:rPr>
  </w:style>
  <w:style w:type="character" w:styleId="Style11" w:customStyle="1">
    <w:name w:val="Верхний колонтитул Знак"/>
    <w:basedOn w:val="DefaultParagraphFont"/>
    <w:uiPriority w:val="99"/>
    <w:qFormat/>
    <w:rPr/>
  </w:style>
  <w:style w:type="character" w:styleId="Style12" w:customStyle="1">
    <w:name w:val="Нижний колонтитул Знак"/>
    <w:basedOn w:val="DefaultParagraphFont"/>
    <w:uiPriority w:val="99"/>
    <w:qFormat/>
    <w:rPr/>
  </w:style>
  <w:style w:type="character" w:styleId="Style13" w:customStyle="1">
    <w:name w:val="Основной текст Знак"/>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4" w:customStyle="1">
    <w:name w:val="Текст сноски Знак"/>
    <w:uiPriority w:val="99"/>
    <w:qFormat/>
    <w:rPr>
      <w:rFonts w:ascii="Times New Roman" w:hAnsi="Times New Roman" w:eastAsia="Times New Roman" w:cs="Times New Roman"/>
      <w:sz w:val="20"/>
      <w:szCs w:val="20"/>
      <w:lang w:eastAsia="ru-RU"/>
    </w:rPr>
  </w:style>
  <w:style w:type="character" w:styleId="Style15">
    <w:name w:val="Символ сноски"/>
    <w:uiPriority w:val="99"/>
    <w:semiHidden/>
    <w:qFormat/>
    <w:rPr>
      <w:vertAlign w:val="superscript"/>
    </w:rPr>
  </w:style>
  <w:style w:type="character" w:styleId="Style16">
    <w:name w:val="Footnote Reference"/>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7" w:customStyle="1">
    <w:name w:val="Основной текст_"/>
    <w:link w:val="14"/>
    <w:qFormat/>
    <w:rPr>
      <w:sz w:val="28"/>
      <w:szCs w:val="28"/>
      <w:shd w:fill="FFFFFF" w:val="clear"/>
    </w:rPr>
  </w:style>
  <w:style w:type="character" w:styleId="Style18" w:customStyle="1">
    <w:name w:val="Текст выноски Знак"/>
    <w:link w:val="BalloonText"/>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9" w:customStyle="1">
    <w:name w:val="Текст примечания Знак"/>
    <w:link w:val="Annotationtext"/>
    <w:uiPriority w:val="99"/>
    <w:qFormat/>
    <w:rPr>
      <w:sz w:val="20"/>
      <w:szCs w:val="20"/>
    </w:rPr>
  </w:style>
  <w:style w:type="character" w:styleId="Style20" w:customStyle="1">
    <w:name w:val="Тема примечания Знак"/>
    <w:link w:val="Annotationsubject"/>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
    <w:name w:val="Hyperlink"/>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link w:val="Style13"/>
    <w:pPr>
      <w:widowControl w:val="false"/>
      <w:shd w:val="clear" w:color="auto" w:fill="FFFFFF"/>
      <w:spacing w:lineRule="exact" w:line="298" w:before="0" w:after="780"/>
      <w:ind w:hanging="1600"/>
    </w:pPr>
    <w:rPr>
      <w:rFonts w:cs="Calibri"/>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NoSpacing">
    <w:name w:val="No Spacing"/>
    <w:uiPriority w:val="1"/>
    <w:qFormat/>
    <w:pPr>
      <w:widowControl/>
      <w:suppressAutoHyphens w:val="true"/>
      <w:bidi w:val="0"/>
      <w:spacing w:before="0" w:after="0"/>
      <w:jc w:val="left"/>
    </w:pPr>
    <w:rPr>
      <w:rFonts w:ascii="Calibri" w:hAnsi="Calibri" w:eastAsia="Calibri" w:cs="Times New Roman"/>
      <w:color w:val="auto"/>
      <w:kern w:val="0"/>
      <w:sz w:val="20"/>
      <w:szCs w:val="20"/>
      <w:lang w:val="ru-RU" w:eastAsia="ru-RU" w:bidi="ar-SA"/>
    </w:rPr>
  </w:style>
  <w:style w:type="paragraph" w:styleId="Style26">
    <w:name w:val="Title"/>
    <w:basedOn w:val="Normal"/>
    <w:next w:val="Normal"/>
    <w:link w:val="Style5"/>
    <w:uiPriority w:val="10"/>
    <w:qFormat/>
    <w:pPr>
      <w:spacing w:before="300" w:after="200"/>
      <w:contextualSpacing/>
    </w:pPr>
    <w:rPr>
      <w:sz w:val="48"/>
      <w:szCs w:val="48"/>
    </w:rPr>
  </w:style>
  <w:style w:type="paragraph" w:styleId="Style27">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8">
    <w:name w:val="Endnote Text"/>
    <w:basedOn w:val="Normal"/>
    <w:link w:val="Style8"/>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29">
    <w:name w:val="Index Heading"/>
    <w:basedOn w:val="Style21"/>
    <w:pPr/>
    <w:rPr/>
  </w:style>
  <w:style w:type="paragraph" w:styleId="Style30">
    <w:name w:val="TOC Heading"/>
    <w:uiPriority w:val="39"/>
    <w:unhideWhenUsed/>
    <w:pPr>
      <w:widowControl/>
      <w:suppressAutoHyphens w:val="true"/>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next w:val="Normal"/>
    <w:uiPriority w:val="99"/>
    <w:unhideWhenUsed/>
    <w:qFormat/>
    <w:pPr/>
    <w:rPr/>
  </w:style>
  <w:style w:type="paragraph" w:styleId="Style31">
    <w:name w:val="Колонтитул"/>
    <w:basedOn w:val="Normal"/>
    <w:qFormat/>
    <w:pPr/>
    <w:rPr/>
  </w:style>
  <w:style w:type="paragraph" w:styleId="Style32">
    <w:name w:val="Header"/>
    <w:basedOn w:val="Normal"/>
    <w:link w:val="Style11"/>
    <w:uiPriority w:val="99"/>
    <w:unhideWhenUsed/>
    <w:pPr>
      <w:tabs>
        <w:tab w:val="clear" w:pos="709"/>
        <w:tab w:val="center" w:pos="4677" w:leader="none"/>
        <w:tab w:val="right" w:pos="9355" w:leader="none"/>
      </w:tabs>
    </w:pPr>
    <w:rPr/>
  </w:style>
  <w:style w:type="paragraph" w:styleId="Style33">
    <w:name w:val="Footer"/>
    <w:basedOn w:val="Normal"/>
    <w:link w:val="Style12"/>
    <w:uiPriority w:val="99"/>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suppressAutoHyphens w:val="true"/>
      <w:bidi w:val="0"/>
      <w:spacing w:before="0" w:after="0"/>
      <w:ind w:firstLine="709"/>
      <w:jc w:val="both"/>
    </w:pPr>
    <w:rPr>
      <w:rFonts w:ascii="Courier New" w:hAnsi="Courier New" w:eastAsia="Calibri" w:cs="Courier New"/>
      <w:color w:val="auto"/>
      <w:kern w:val="0"/>
      <w:sz w:val="20"/>
      <w:szCs w:val="20"/>
      <w:lang w:val="ru-RU" w:eastAsia="en-US"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suppressAutoHyphens w:val="true"/>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4">
    <w:name w:val="Footnote Text"/>
    <w:basedOn w:val="Normal"/>
    <w:link w:val="Style14"/>
    <w:uiPriority w:val="99"/>
    <w:pPr/>
    <w:rPr>
      <w:rFonts w:ascii="Times New Roman" w:hAnsi="Times New Roman" w:eastAsia="Times New Roman"/>
      <w:sz w:val="20"/>
      <w:szCs w:val="20"/>
      <w:lang w:eastAsia="ru-RU"/>
    </w:rPr>
  </w:style>
  <w:style w:type="paragraph" w:styleId="14" w:customStyle="1">
    <w:name w:val="Основной текст1"/>
    <w:basedOn w:val="Normal"/>
    <w:link w:val="Style17"/>
    <w:qFormat/>
    <w:pPr>
      <w:shd w:val="clear" w:color="auto" w:fill="FFFFFF"/>
      <w:spacing w:lineRule="atLeast" w:line="0" w:before="0" w:after="420"/>
      <w:ind w:hanging="420"/>
      <w:jc w:val="center"/>
    </w:pPr>
    <w:rPr>
      <w:sz w:val="28"/>
      <w:szCs w:val="28"/>
    </w:rPr>
  </w:style>
  <w:style w:type="paragraph" w:styleId="BalloonText">
    <w:name w:val="Balloon Text"/>
    <w:basedOn w:val="Normal"/>
    <w:link w:val="Style18"/>
    <w:uiPriority w:val="99"/>
    <w:semiHidden/>
    <w:unhideWhenUsed/>
    <w:qFormat/>
    <w:pPr/>
    <w:rPr>
      <w:rFonts w:ascii="Tahoma" w:hAnsi="Tahoma" w:cs="Tahoma"/>
      <w:sz w:val="16"/>
      <w:szCs w:val="16"/>
    </w:rPr>
  </w:style>
  <w:style w:type="paragraph" w:styleId="Annotationtext">
    <w:name w:val="annotation text"/>
    <w:basedOn w:val="Normal"/>
    <w:link w:val="Style19"/>
    <w:uiPriority w:val="99"/>
    <w:unhideWhenUsed/>
    <w:qFormat/>
    <w:pPr/>
    <w:rPr>
      <w:sz w:val="20"/>
      <w:szCs w:val="20"/>
    </w:rPr>
  </w:style>
  <w:style w:type="paragraph" w:styleId="Annotationsubject">
    <w:name w:val="annotation subject"/>
    <w:basedOn w:val="Annotationtext"/>
    <w:next w:val="Annotationtext"/>
    <w:link w:val="Style20"/>
    <w:uiPriority w:val="99"/>
    <w:semiHidden/>
    <w:unhideWhenUsed/>
    <w:qFormat/>
    <w:pPr/>
    <w:rPr>
      <w:b/>
      <w:bCs/>
    </w:rPr>
  </w:style>
  <w:style w:type="paragraph" w:styleId="ConsPlusNormal" w:customStyle="1">
    <w:name w:val="ConsPlusNormal"/>
    <w:qFormat/>
    <w:pPr>
      <w:widowControl/>
      <w:suppressAutoHyphens w:val="true"/>
      <w:bidi w:val="0"/>
      <w:spacing w:before="0" w:after="0"/>
      <w:jc w:val="left"/>
    </w:pPr>
    <w:rPr>
      <w:rFonts w:ascii="Times New Roman" w:hAnsi="Times New Roman" w:eastAsia="Calibri" w:cs="Times New Roman"/>
      <w:color w:val="auto"/>
      <w:kern w:val="0"/>
      <w:sz w:val="28"/>
      <w:szCs w:val="28"/>
      <w:lang w:val="ru-RU" w:eastAsia="en-US" w:bidi="ar-SA"/>
    </w:rPr>
  </w:style>
  <w:style w:type="paragraph" w:styleId="Revision">
    <w:name w:val="Revision"/>
    <w:uiPriority w:val="99"/>
    <w:semiHidden/>
    <w:qFormat/>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https://mintrud.gov.ru/ministry/programms/anticorruption/9/instruktivno-metodicheskie-materialy-po-fz" TargetMode="External"/><Relationship Id="rId4" Type="http://schemas.openxmlformats.org/officeDocument/2006/relationships/hyperlink" Target="" TargetMode="External"/><Relationship Id="rId5" Type="http://schemas.openxmlformats.org/officeDocument/2006/relationships/hyperlink" Target="consultantplus://offline/ref=C9E7374AA1332C6CF9FF0059DC9BC42D7E0C4094E90E8D4E87A0DE0B00JBsBL" TargetMode="External"/><Relationship Id="rId6" Type="http://schemas.openxmlformats.org/officeDocument/2006/relationships/hyperlink" Target="consultantplus://offline/ref=176F7DE9F43BBC5D4BD135AAE1CAD04D0FAF9650A130B33DA87DA13E97FAF95DCF18F97FDC1FE2FAH7g2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743F552A0D416E80BEAF690826125BB530BB097B6A5A5C17137C1E72FF3E91DCF3284BA9D2A6279g3rBM" TargetMode="External"/><Relationship Id="rId9" Type="http://schemas.openxmlformats.org/officeDocument/2006/relationships/hyperlink" Target="consultantplus://offline/ref=7F2EEDDD06F168B694690D2DE649735BC9E53CBFC16FEC31087E4E96CAJ2nFL" TargetMode="External"/><Relationship Id="rId10" Type="http://schemas.openxmlformats.org/officeDocument/2006/relationships/hyperlink" Target="consultantplus://offline/ref=33E7B6DD529722622844D6F9EBC8DBA03B3FAEDA9118A1613233FFF35FCD6ECFCAED66496D73EC2Di9vDO" TargetMode="External"/><Relationship Id="rId11" Type="http://schemas.openxmlformats.org/officeDocument/2006/relationships/hyperlink" Target="https://mintrud.gov.ru/ministry/programms/anticorruption/9/23" TargetMode="External"/><Relationship Id="rId12" Type="http://schemas.openxmlformats.org/officeDocument/2006/relationships/hyperlink" Target="https://mintrud.gov.ru/ministry/programms/anticorruption/9/23" TargetMode="External"/><Relationship Id="rId13" Type="http://schemas.openxmlformats.org/officeDocument/2006/relationships/hyperlink" Target="https://mintrud.gov.ru/ministry/programms/anticorruption/9/23" TargetMode="External"/><Relationship Id="rId14" Type="http://schemas.openxmlformats.org/officeDocument/2006/relationships/hyperlink" Target="https://mintrud.gov.ru/ministry/programms/anticorruption/9/24" TargetMode="External"/><Relationship Id="rId15" Type="http://schemas.openxmlformats.org/officeDocument/2006/relationships/hyperlink" Target="http://www.kremlin.ru/structure/additional/12" TargetMode="External"/><Relationship Id="rId16" Type="http://schemas.openxmlformats.org/officeDocument/2006/relationships/hyperlink" Target="https://gossluzhba.gov.ru/anticorruption/spravki_bk" TargetMode="External"/><Relationship Id="rId17" Type="http://schemas.openxmlformats.org/officeDocument/2006/relationships/hyperlink" Target="https://www.cbr.ru/currency_base/daily/" TargetMode="External"/><Relationship Id="rId18" Type="http://schemas.openxmlformats.org/officeDocument/2006/relationships/hyperlink" Target="https://mintrud.gov.ru/docs/1872" TargetMode="External"/><Relationship Id="rId19" Type="http://schemas.openxmlformats.org/officeDocument/2006/relationships/hyperlink" Target="https://lk.rosreestr.ru/eservices/real-estate-objects-online" TargetMode="External"/><Relationship Id="rId20" Type="http://schemas.openxmlformats.org/officeDocument/2006/relationships/hyperlink" Target="https://www.gibdd.ru/r/77/contacts/div1145039/" TargetMode="External"/><Relationship Id="rId21" Type="http://schemas.openxmlformats.org/officeDocument/2006/relationships/hyperlink" Target="https://www.gibdd.ru/r/66/contacts/div1165058/" TargetMode="External"/><Relationship Id="rId22" Type="http://schemas.openxmlformats.org/officeDocument/2006/relationships/hyperlink" Target="https://www.gibdd.ru/r/66/contacts/div1165043/" TargetMode="External"/><Relationship Id="rId23" Type="http://schemas.openxmlformats.org/officeDocument/2006/relationships/hyperlink" Target="https://cbr.ru/vfs/registers/infr/list_OIS.xlsx" TargetMode="External"/><Relationship Id="rId24" Type="http://schemas.openxmlformats.org/officeDocument/2006/relationships/hyperlink" Target="https://cbr.ru/vfs/registers/infr/list_invest_platform_op.xlsx" TargetMode="External"/><Relationship Id="rId25" Type="http://schemas.openxmlformats.org/officeDocument/2006/relationships/hyperlink" Target="https://www.cbr.ru/hd_base/metall/metall_base_new/" TargetMode="External"/><Relationship Id="rId26" Type="http://schemas.openxmlformats.org/officeDocument/2006/relationships/hyperlink" Target="https://www.nalog.ru/rn77/related_activities/accounting/bank_account/" TargetMode="External"/><Relationship Id="rId27" Type="http://schemas.openxmlformats.org/officeDocument/2006/relationships/hyperlink" Target="https://www.cbr.ru/banking_sector/likvidbase/" TargetMode="External"/><Relationship Id="rId28" Type="http://schemas.openxmlformats.org/officeDocument/2006/relationships/hyperlink" Target="https://mintrud.gov.ru/ministry/programms/anticorruption/9/21" TargetMode="External"/><Relationship Id="rId29" Type="http://schemas.openxmlformats.org/officeDocument/2006/relationships/hyperlink" Target="https://www.cbr.ru/currency_base/daily/" TargetMode="External"/><Relationship Id="rId30" Type="http://schemas.openxmlformats.org/officeDocument/2006/relationships/header" Target="head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LibreOffice/7.5.6.2$Linux_X86_64 LibreOffice_project/50$Build-2</Application>
  <AppVersion>15.0000</AppVersion>
  <Pages>68</Pages>
  <Words>23551</Words>
  <Characters>165976</Characters>
  <CharactersWithSpaces>188675</CharactersWithSpaces>
  <Paragraphs>743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2024-02-12T07:45:00Z</dcterms:created>
  <dc:creator>KovalkovaEA</dc:creator>
  <dc:description/>
  <dc:language>ru-RU</dc:language>
  <cp:lastModifiedBy/>
  <cp:lastPrinted>2024-01-31T08:32:00Z</cp:lastPrinted>
  <dcterms:modified xsi:type="dcterms:W3CDTF">2024-02-13T11:45:12Z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