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635016" w:rsidTr="008B435F">
        <w:tc>
          <w:tcPr>
            <w:tcW w:w="985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0"/>
              <w:gridCol w:w="1406"/>
              <w:gridCol w:w="533"/>
              <w:gridCol w:w="1953"/>
              <w:gridCol w:w="336"/>
              <w:gridCol w:w="4599"/>
            </w:tblGrid>
            <w:tr w:rsidR="00635016" w:rsidRPr="00C321A9" w:rsidTr="008B435F">
              <w:tc>
                <w:tcPr>
                  <w:tcW w:w="4806" w:type="dxa"/>
                  <w:gridSpan w:val="4"/>
                </w:tcPr>
                <w:p w:rsidR="00635016" w:rsidRPr="00C321A9" w:rsidRDefault="000F2F86" w:rsidP="008B435F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9.25pt;mso-position-horizontal-relative:char;mso-position-vertical-relative:line">
                        <v:imagedata r:id="rId5" o:title=""/>
                      </v:shape>
                    </w:pict>
                  </w:r>
                </w:p>
              </w:tc>
              <w:tc>
                <w:tcPr>
                  <w:tcW w:w="5083" w:type="dxa"/>
                  <w:gridSpan w:val="2"/>
                </w:tcPr>
                <w:p w:rsidR="00635016" w:rsidRPr="00C321A9" w:rsidRDefault="00635016" w:rsidP="008B435F"/>
              </w:tc>
            </w:tr>
            <w:tr w:rsidR="00635016" w:rsidRPr="00C321A9" w:rsidTr="008B435F">
              <w:trPr>
                <w:cantSplit/>
              </w:trPr>
              <w:tc>
                <w:tcPr>
                  <w:tcW w:w="4806" w:type="dxa"/>
                  <w:gridSpan w:val="4"/>
                </w:tcPr>
                <w:p w:rsidR="00AE310D" w:rsidRPr="00881733" w:rsidRDefault="00AE310D" w:rsidP="00AE310D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81733">
                    <w:rPr>
                      <w:b/>
                      <w:sz w:val="20"/>
                    </w:rPr>
                    <w:t>АДМИНИСТРАЦИЯ ЯКОВЛЕВСКОГО</w:t>
                  </w:r>
                  <w:r w:rsidRPr="00881733">
                    <w:rPr>
                      <w:sz w:val="20"/>
                    </w:rPr>
                    <w:t xml:space="preserve"> </w:t>
                  </w:r>
                  <w:r w:rsidRPr="00881733">
                    <w:rPr>
                      <w:b/>
                      <w:sz w:val="20"/>
                    </w:rPr>
                    <w:t>МУНИЦИПАЛЬНОГО РАЙОНА</w:t>
                  </w:r>
                </w:p>
                <w:p w:rsidR="00AE310D" w:rsidRPr="00881733" w:rsidRDefault="00AE310D" w:rsidP="00AE310D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81733">
                    <w:rPr>
                      <w:b/>
                      <w:sz w:val="20"/>
                    </w:rPr>
                    <w:t>ПРИМОРСКОГО КРАЯ</w:t>
                  </w:r>
                </w:p>
                <w:p w:rsidR="00AE310D" w:rsidRPr="00881733" w:rsidRDefault="00AE310D" w:rsidP="00AE310D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</w:p>
                <w:p w:rsidR="00AE310D" w:rsidRPr="00881733" w:rsidRDefault="00AE310D" w:rsidP="00AE310D">
                  <w:pPr>
                    <w:tabs>
                      <w:tab w:val="left" w:pos="2977"/>
                    </w:tabs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881733">
                    <w:rPr>
                      <w:sz w:val="18"/>
                      <w:szCs w:val="18"/>
                    </w:rPr>
                    <w:t xml:space="preserve">пер. </w:t>
                  </w:r>
                  <w:proofErr w:type="gramStart"/>
                  <w:r w:rsidRPr="00881733">
                    <w:rPr>
                      <w:sz w:val="18"/>
                      <w:szCs w:val="18"/>
                    </w:rPr>
                    <w:t>Почтовый</w:t>
                  </w:r>
                  <w:proofErr w:type="gramEnd"/>
                  <w:r w:rsidRPr="00881733">
                    <w:rPr>
                      <w:sz w:val="18"/>
                      <w:szCs w:val="18"/>
                    </w:rPr>
                    <w:t>, 7, с. Яковлевка, 692361</w:t>
                  </w:r>
                </w:p>
                <w:p w:rsidR="00AE310D" w:rsidRPr="00881733" w:rsidRDefault="00AE310D" w:rsidP="00AE310D">
                  <w:pPr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881733">
                    <w:rPr>
                      <w:sz w:val="18"/>
                      <w:szCs w:val="18"/>
                    </w:rPr>
                    <w:t>телефон (42371) 91-3-94, тел./факс (42371) 91-0-35</w:t>
                  </w:r>
                </w:p>
                <w:p w:rsidR="00AE310D" w:rsidRPr="00881733" w:rsidRDefault="00AE310D" w:rsidP="00AE310D">
                  <w:pPr>
                    <w:spacing w:line="20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1733"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6" w:history="1">
                    <w:r w:rsidRPr="00881733">
                      <w:rPr>
                        <w:rStyle w:val="a3"/>
                        <w:sz w:val="18"/>
                        <w:szCs w:val="18"/>
                        <w:lang w:val="en-US"/>
                      </w:rPr>
                      <w:t>yakovlevsky@mo.primorsky.ru</w:t>
                    </w:r>
                  </w:hyperlink>
                  <w:r w:rsidRPr="0088173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E310D" w:rsidRPr="00881733" w:rsidRDefault="00AE310D" w:rsidP="00AE310D">
                  <w:pPr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AE310D" w:rsidRPr="00432529" w:rsidRDefault="00AE310D" w:rsidP="00AE310D">
                  <w:pPr>
                    <w:pStyle w:val="a8"/>
                    <w:jc w:val="center"/>
                    <w:rPr>
                      <w:sz w:val="18"/>
                      <w:szCs w:val="18"/>
                    </w:rPr>
                  </w:pPr>
                  <w:r w:rsidRPr="00432529">
                    <w:rPr>
                      <w:sz w:val="18"/>
                      <w:szCs w:val="18"/>
                    </w:rPr>
                    <w:t>ОКПО 04020672, ОГРН 1022500509261</w:t>
                  </w:r>
                </w:p>
                <w:p w:rsidR="00635016" w:rsidRPr="00C321A9" w:rsidRDefault="00AE310D" w:rsidP="00AE310D">
                  <w:pPr>
                    <w:jc w:val="center"/>
                    <w:rPr>
                      <w:lang w:val="en-US"/>
                    </w:rPr>
                  </w:pPr>
                  <w:r w:rsidRPr="00432529">
                    <w:rPr>
                      <w:sz w:val="18"/>
                      <w:szCs w:val="18"/>
                    </w:rPr>
                    <w:t>ИНН/КПП 2535000726/253501001</w:t>
                  </w:r>
                </w:p>
                <w:p w:rsidR="00635016" w:rsidRPr="00C321A9" w:rsidRDefault="00635016" w:rsidP="008B435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2" w:type="dxa"/>
                  <w:vMerge w:val="restart"/>
                </w:tcPr>
                <w:p w:rsidR="00635016" w:rsidRPr="00C321A9" w:rsidRDefault="00635016" w:rsidP="008B435F">
                  <w:pPr>
                    <w:rPr>
                      <w:sz w:val="28"/>
                      <w:lang w:val="en-US"/>
                    </w:rPr>
                  </w:pPr>
                  <w:r w:rsidRPr="00C321A9">
                    <w:rPr>
                      <w:sz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741" w:type="dxa"/>
                  <w:vMerge w:val="restart"/>
                </w:tcPr>
                <w:p w:rsidR="00635016" w:rsidRDefault="00E0100A" w:rsidP="008B43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635016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635016">
                    <w:rPr>
                      <w:sz w:val="28"/>
                      <w:szCs w:val="28"/>
                    </w:rPr>
                    <w:t xml:space="preserve"> Думы </w:t>
                  </w:r>
                </w:p>
                <w:p w:rsidR="00635016" w:rsidRPr="00635016" w:rsidRDefault="00635016" w:rsidP="008B43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Яковлевского района</w:t>
                  </w:r>
                </w:p>
                <w:p w:rsidR="00635016" w:rsidRDefault="00635016" w:rsidP="008B435F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861EF6" w:rsidRDefault="00E0100A" w:rsidP="008B435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Н.В. Базыль </w:t>
                  </w:r>
                </w:p>
                <w:p w:rsidR="00635016" w:rsidRPr="00FC77F5" w:rsidRDefault="00635016" w:rsidP="008B435F">
                  <w:pPr>
                    <w:rPr>
                      <w:sz w:val="28"/>
                      <w:szCs w:val="28"/>
                    </w:rPr>
                  </w:pPr>
                </w:p>
                <w:p w:rsidR="00635016" w:rsidRPr="001B62B9" w:rsidRDefault="00635016" w:rsidP="008B435F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</w:p>
              </w:tc>
            </w:tr>
            <w:tr w:rsidR="00635016" w:rsidRPr="00C321A9" w:rsidTr="008B435F">
              <w:trPr>
                <w:cantSplit/>
              </w:trPr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:rsidR="00635016" w:rsidRPr="00B86893" w:rsidRDefault="00635016" w:rsidP="008B435F">
                  <w:pPr>
                    <w:jc w:val="right"/>
                  </w:pPr>
                </w:p>
              </w:tc>
              <w:tc>
                <w:tcPr>
                  <w:tcW w:w="540" w:type="dxa"/>
                </w:tcPr>
                <w:p w:rsidR="00635016" w:rsidRPr="00C321A9" w:rsidRDefault="00635016" w:rsidP="008B435F">
                  <w:pPr>
                    <w:jc w:val="right"/>
                  </w:pPr>
                  <w:r w:rsidRPr="00C321A9">
                    <w:t>№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635016" w:rsidRPr="00C321A9" w:rsidRDefault="00635016" w:rsidP="008B435F"/>
              </w:tc>
              <w:tc>
                <w:tcPr>
                  <w:tcW w:w="342" w:type="dxa"/>
                  <w:vMerge/>
                </w:tcPr>
                <w:p w:rsidR="00635016" w:rsidRPr="00C321A9" w:rsidRDefault="00635016" w:rsidP="008B435F"/>
              </w:tc>
              <w:tc>
                <w:tcPr>
                  <w:tcW w:w="4741" w:type="dxa"/>
                  <w:vMerge/>
                </w:tcPr>
                <w:p w:rsidR="00635016" w:rsidRPr="00C321A9" w:rsidRDefault="00635016" w:rsidP="008B435F"/>
              </w:tc>
            </w:tr>
            <w:tr w:rsidR="00635016" w:rsidRPr="00C321A9" w:rsidTr="008B435F">
              <w:trPr>
                <w:cantSplit/>
              </w:trPr>
              <w:tc>
                <w:tcPr>
                  <w:tcW w:w="828" w:type="dxa"/>
                  <w:tcBorders>
                    <w:top w:val="single" w:sz="4" w:space="0" w:color="auto"/>
                  </w:tcBorders>
                </w:tcPr>
                <w:p w:rsidR="00635016" w:rsidRPr="00C321A9" w:rsidRDefault="00635016" w:rsidP="008B435F">
                  <w:r w:rsidRPr="00C321A9">
                    <w:t>На №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16" w:rsidRDefault="00E0100A" w:rsidP="000F439E">
                  <w:r>
                    <w:t>01-12/128</w:t>
                  </w:r>
                </w:p>
                <w:p w:rsidR="00E0100A" w:rsidRPr="000A42BA" w:rsidRDefault="00E0100A" w:rsidP="00E0100A">
                  <w:r>
                    <w:t>01-12/127</w:t>
                  </w:r>
                </w:p>
              </w:tc>
              <w:tc>
                <w:tcPr>
                  <w:tcW w:w="540" w:type="dxa"/>
                </w:tcPr>
                <w:p w:rsidR="00635016" w:rsidRPr="00C321A9" w:rsidRDefault="00635016" w:rsidP="008B435F">
                  <w:r w:rsidRPr="00C321A9">
                    <w:t>от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635016" w:rsidRDefault="00E0100A" w:rsidP="000F439E">
                  <w:r>
                    <w:t>10.09.2021 г.</w:t>
                  </w:r>
                </w:p>
                <w:p w:rsidR="00E0100A" w:rsidRPr="000A42BA" w:rsidRDefault="00E0100A" w:rsidP="000F439E">
                  <w:r>
                    <w:t>01.09.2021 г.</w:t>
                  </w:r>
                </w:p>
              </w:tc>
              <w:tc>
                <w:tcPr>
                  <w:tcW w:w="342" w:type="dxa"/>
                  <w:vMerge/>
                </w:tcPr>
                <w:p w:rsidR="00635016" w:rsidRPr="00C321A9" w:rsidRDefault="00635016" w:rsidP="008B435F"/>
              </w:tc>
              <w:tc>
                <w:tcPr>
                  <w:tcW w:w="4741" w:type="dxa"/>
                  <w:vMerge/>
                </w:tcPr>
                <w:p w:rsidR="00635016" w:rsidRPr="00C321A9" w:rsidRDefault="00635016" w:rsidP="008B435F"/>
              </w:tc>
            </w:tr>
            <w:tr w:rsidR="00635016" w:rsidRPr="00C321A9" w:rsidTr="008B435F">
              <w:trPr>
                <w:cantSplit/>
              </w:trPr>
              <w:tc>
                <w:tcPr>
                  <w:tcW w:w="4806" w:type="dxa"/>
                  <w:gridSpan w:val="4"/>
                </w:tcPr>
                <w:p w:rsidR="00635016" w:rsidRPr="00C321A9" w:rsidRDefault="00635016" w:rsidP="008B435F"/>
              </w:tc>
              <w:tc>
                <w:tcPr>
                  <w:tcW w:w="342" w:type="dxa"/>
                  <w:vMerge/>
                </w:tcPr>
                <w:p w:rsidR="00635016" w:rsidRPr="00C321A9" w:rsidRDefault="00635016" w:rsidP="008B435F"/>
              </w:tc>
              <w:tc>
                <w:tcPr>
                  <w:tcW w:w="4741" w:type="dxa"/>
                  <w:vMerge/>
                </w:tcPr>
                <w:p w:rsidR="00635016" w:rsidRPr="00C321A9" w:rsidRDefault="00635016" w:rsidP="008B435F"/>
              </w:tc>
            </w:tr>
          </w:tbl>
          <w:p w:rsidR="00635016" w:rsidRDefault="00635016" w:rsidP="008B435F"/>
        </w:tc>
      </w:tr>
    </w:tbl>
    <w:p w:rsidR="00506992" w:rsidRDefault="00506992" w:rsidP="00056BC5">
      <w:pPr>
        <w:jc w:val="center"/>
        <w:rPr>
          <w:b/>
          <w:bCs/>
          <w:sz w:val="28"/>
          <w:szCs w:val="28"/>
        </w:rPr>
      </w:pPr>
    </w:p>
    <w:p w:rsidR="000C683D" w:rsidRDefault="000C683D" w:rsidP="000C68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E0100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0100A">
        <w:rPr>
          <w:sz w:val="28"/>
          <w:szCs w:val="28"/>
        </w:rPr>
        <w:t>Нелли Владимировна</w:t>
      </w:r>
      <w:r>
        <w:rPr>
          <w:sz w:val="28"/>
          <w:szCs w:val="28"/>
        </w:rPr>
        <w:t>!</w:t>
      </w:r>
    </w:p>
    <w:p w:rsidR="000C683D" w:rsidRDefault="000C683D" w:rsidP="000C683D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0C683D" w:rsidRDefault="000C683D" w:rsidP="000C683D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Яковлевского муниципального района, для подготовки к очередному заседанию Думы района в </w:t>
      </w:r>
      <w:r w:rsidR="00E0100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текущего года, предоставляет в Ваш адрес информацию по вопросу «</w:t>
      </w:r>
      <w:r w:rsidR="00E0100A">
        <w:rPr>
          <w:sz w:val="28"/>
          <w:szCs w:val="28"/>
        </w:rPr>
        <w:t>Об итогах работы по переходу на новую систему обращения с ТКО в Яковлевском муниципальном районе и о работе в данном направлении в 2021, 2022 годах</w:t>
      </w:r>
      <w:r>
        <w:rPr>
          <w:sz w:val="28"/>
          <w:szCs w:val="28"/>
        </w:rPr>
        <w:t xml:space="preserve">». </w:t>
      </w:r>
    </w:p>
    <w:p w:rsidR="000C683D" w:rsidRDefault="000C683D" w:rsidP="000C683D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 качестве докладчика выступит начальник отдела жизнеобеспечения Администрации Яковлевского муниципального района – Подложнюк Егор Геннадьевич.</w:t>
      </w:r>
    </w:p>
    <w:p w:rsidR="00861EF6" w:rsidRDefault="00837958" w:rsidP="00150ACA">
      <w:pPr>
        <w:jc w:val="both"/>
        <w:rPr>
          <w:sz w:val="28"/>
          <w:szCs w:val="28"/>
        </w:rPr>
      </w:pPr>
      <w:r w:rsidRPr="00E006C4">
        <w:rPr>
          <w:sz w:val="28"/>
          <w:szCs w:val="28"/>
        </w:rPr>
        <w:tab/>
      </w:r>
    </w:p>
    <w:p w:rsidR="00837958" w:rsidRDefault="00837958" w:rsidP="005E4B26">
      <w:pPr>
        <w:jc w:val="both"/>
        <w:rPr>
          <w:sz w:val="28"/>
          <w:szCs w:val="28"/>
        </w:rPr>
      </w:pPr>
      <w:r w:rsidRPr="00E006C4">
        <w:rPr>
          <w:sz w:val="28"/>
          <w:szCs w:val="28"/>
        </w:rPr>
        <w:t>Приложени</w:t>
      </w:r>
      <w:r w:rsidR="005E4B26">
        <w:rPr>
          <w:sz w:val="28"/>
          <w:szCs w:val="28"/>
        </w:rPr>
        <w:t>е</w:t>
      </w:r>
      <w:r w:rsidRPr="00E006C4">
        <w:rPr>
          <w:sz w:val="28"/>
          <w:szCs w:val="28"/>
        </w:rPr>
        <w:t xml:space="preserve">: </w:t>
      </w:r>
      <w:r w:rsidR="00603734">
        <w:rPr>
          <w:sz w:val="28"/>
          <w:szCs w:val="28"/>
        </w:rPr>
        <w:t xml:space="preserve">на </w:t>
      </w:r>
      <w:r w:rsidR="000F2F86">
        <w:rPr>
          <w:sz w:val="28"/>
          <w:szCs w:val="28"/>
        </w:rPr>
        <w:t>3</w:t>
      </w:r>
      <w:r w:rsidR="005D5B79">
        <w:rPr>
          <w:sz w:val="28"/>
          <w:szCs w:val="28"/>
        </w:rPr>
        <w:t xml:space="preserve"> </w:t>
      </w:r>
      <w:r w:rsidR="00603734" w:rsidRPr="00DD36A5">
        <w:rPr>
          <w:sz w:val="28"/>
          <w:szCs w:val="28"/>
        </w:rPr>
        <w:t>л</w:t>
      </w:r>
      <w:r w:rsidR="00D11714" w:rsidRPr="00DD36A5">
        <w:rPr>
          <w:sz w:val="28"/>
          <w:szCs w:val="28"/>
        </w:rPr>
        <w:t>.</w:t>
      </w:r>
      <w:r w:rsidR="00603734">
        <w:rPr>
          <w:sz w:val="28"/>
          <w:szCs w:val="28"/>
        </w:rPr>
        <w:t>, в 1экз.</w:t>
      </w:r>
      <w:bookmarkStart w:id="0" w:name="_GoBack"/>
      <w:bookmarkEnd w:id="0"/>
    </w:p>
    <w:p w:rsidR="00837958" w:rsidRPr="00E006C4" w:rsidRDefault="00837958" w:rsidP="00150ACA">
      <w:pPr>
        <w:jc w:val="both"/>
        <w:rPr>
          <w:sz w:val="28"/>
          <w:szCs w:val="28"/>
        </w:rPr>
      </w:pPr>
    </w:p>
    <w:p w:rsidR="00837958" w:rsidRDefault="00837958" w:rsidP="00150ACA">
      <w:pPr>
        <w:jc w:val="both"/>
        <w:rPr>
          <w:sz w:val="28"/>
          <w:szCs w:val="28"/>
        </w:rPr>
      </w:pPr>
    </w:p>
    <w:p w:rsidR="001B62B9" w:rsidRDefault="001B62B9" w:rsidP="00150ACA">
      <w:pPr>
        <w:jc w:val="both"/>
        <w:rPr>
          <w:sz w:val="28"/>
          <w:szCs w:val="28"/>
        </w:rPr>
      </w:pPr>
    </w:p>
    <w:p w:rsidR="001B62B9" w:rsidRDefault="00E11BBB" w:rsidP="00150ACA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37958" w:rsidRPr="00E006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7958" w:rsidRPr="00E006C4">
        <w:rPr>
          <w:sz w:val="28"/>
          <w:szCs w:val="28"/>
        </w:rPr>
        <w:t xml:space="preserve"> </w:t>
      </w:r>
      <w:r w:rsidR="001B62B9">
        <w:rPr>
          <w:sz w:val="28"/>
          <w:szCs w:val="28"/>
        </w:rPr>
        <w:t>района – глав</w:t>
      </w:r>
      <w:r>
        <w:rPr>
          <w:sz w:val="28"/>
          <w:szCs w:val="28"/>
        </w:rPr>
        <w:t>а</w:t>
      </w:r>
      <w:r w:rsidR="001B62B9">
        <w:rPr>
          <w:sz w:val="28"/>
          <w:szCs w:val="28"/>
        </w:rPr>
        <w:t xml:space="preserve"> </w:t>
      </w:r>
      <w:r w:rsidR="00837958" w:rsidRPr="00E006C4">
        <w:rPr>
          <w:sz w:val="28"/>
          <w:szCs w:val="28"/>
        </w:rPr>
        <w:t xml:space="preserve">Администрации </w:t>
      </w:r>
    </w:p>
    <w:p w:rsidR="00837958" w:rsidRPr="00E006C4" w:rsidRDefault="00837958" w:rsidP="001B62B9">
      <w:pPr>
        <w:tabs>
          <w:tab w:val="left" w:pos="930"/>
        </w:tabs>
        <w:rPr>
          <w:sz w:val="28"/>
          <w:szCs w:val="28"/>
        </w:rPr>
      </w:pPr>
      <w:r w:rsidRPr="00E006C4">
        <w:rPr>
          <w:sz w:val="28"/>
          <w:szCs w:val="28"/>
        </w:rPr>
        <w:t xml:space="preserve">Яковлевского муниципального района           </w:t>
      </w:r>
      <w:r w:rsidR="007A34B8">
        <w:rPr>
          <w:sz w:val="28"/>
          <w:szCs w:val="28"/>
        </w:rPr>
        <w:t xml:space="preserve">                               </w:t>
      </w:r>
      <w:r w:rsidR="001B62B9">
        <w:rPr>
          <w:sz w:val="28"/>
          <w:szCs w:val="28"/>
        </w:rPr>
        <w:t xml:space="preserve">    </w:t>
      </w:r>
      <w:r w:rsidR="00626B58">
        <w:rPr>
          <w:sz w:val="28"/>
          <w:szCs w:val="28"/>
        </w:rPr>
        <w:t xml:space="preserve">  </w:t>
      </w:r>
      <w:r w:rsidR="00E11BBB">
        <w:rPr>
          <w:sz w:val="28"/>
          <w:szCs w:val="28"/>
        </w:rPr>
        <w:t>Н</w:t>
      </w:r>
      <w:r w:rsidRPr="00E006C4">
        <w:rPr>
          <w:sz w:val="28"/>
          <w:szCs w:val="28"/>
        </w:rPr>
        <w:t>.</w:t>
      </w:r>
      <w:r w:rsidR="00E11BBB">
        <w:rPr>
          <w:sz w:val="28"/>
          <w:szCs w:val="28"/>
        </w:rPr>
        <w:t>В</w:t>
      </w:r>
      <w:r w:rsidRPr="00E006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BBB">
        <w:rPr>
          <w:sz w:val="28"/>
          <w:szCs w:val="28"/>
        </w:rPr>
        <w:t>Вязовик</w:t>
      </w:r>
    </w:p>
    <w:p w:rsidR="00837958" w:rsidRDefault="00837958" w:rsidP="00150ACA">
      <w:pPr>
        <w:rPr>
          <w:b/>
          <w:bCs/>
          <w:sz w:val="26"/>
          <w:szCs w:val="26"/>
        </w:rPr>
      </w:pPr>
    </w:p>
    <w:p w:rsidR="00837958" w:rsidRDefault="00837958" w:rsidP="00150ACA">
      <w:pPr>
        <w:rPr>
          <w:b/>
          <w:bCs/>
          <w:sz w:val="26"/>
          <w:szCs w:val="26"/>
        </w:rPr>
      </w:pPr>
    </w:p>
    <w:p w:rsidR="00837958" w:rsidRDefault="00837958" w:rsidP="00150ACA"/>
    <w:p w:rsidR="00861EF6" w:rsidRDefault="00861EF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837958" w:rsidRDefault="00E836B2" w:rsidP="00150ACA">
      <w:r>
        <w:t>исп. Подложнюк Е.Г.</w:t>
      </w:r>
    </w:p>
    <w:p w:rsidR="00E836B2" w:rsidRPr="00E006C4" w:rsidRDefault="00E836B2" w:rsidP="00150ACA">
      <w:r>
        <w:t>8(42371)97-5-45</w:t>
      </w:r>
    </w:p>
    <w:p w:rsidR="00837958" w:rsidRDefault="00837958" w:rsidP="00150ACA">
      <w:pPr>
        <w:ind w:right="283"/>
        <w:rPr>
          <w:sz w:val="16"/>
          <w:szCs w:val="16"/>
        </w:rPr>
      </w:pPr>
      <w:r w:rsidRPr="00064966">
        <w:rPr>
          <w:sz w:val="16"/>
          <w:szCs w:val="16"/>
        </w:rPr>
        <w:t xml:space="preserve"> </w:t>
      </w:r>
    </w:p>
    <w:p w:rsidR="00E11BBB" w:rsidRDefault="00E11BBB" w:rsidP="00150ACA">
      <w:pPr>
        <w:ind w:right="283"/>
        <w:rPr>
          <w:sz w:val="16"/>
          <w:szCs w:val="16"/>
        </w:rPr>
      </w:pPr>
    </w:p>
    <w:p w:rsidR="00157268" w:rsidRDefault="00157268" w:rsidP="00E11BBB">
      <w:pPr>
        <w:tabs>
          <w:tab w:val="left" w:pos="9637"/>
        </w:tabs>
        <w:ind w:right="-2"/>
        <w:jc w:val="right"/>
        <w:rPr>
          <w:sz w:val="24"/>
          <w:szCs w:val="24"/>
        </w:rPr>
      </w:pPr>
    </w:p>
    <w:p w:rsidR="00157268" w:rsidRDefault="00157268" w:rsidP="00E11BBB">
      <w:pPr>
        <w:tabs>
          <w:tab w:val="left" w:pos="9637"/>
        </w:tabs>
        <w:ind w:right="-2"/>
        <w:jc w:val="right"/>
        <w:rPr>
          <w:sz w:val="24"/>
          <w:szCs w:val="24"/>
        </w:rPr>
      </w:pPr>
    </w:p>
    <w:p w:rsidR="00E11BBB" w:rsidRDefault="00E11BBB" w:rsidP="00E11BBB">
      <w:pPr>
        <w:tabs>
          <w:tab w:val="left" w:pos="9637"/>
        </w:tabs>
        <w:ind w:right="-2"/>
        <w:jc w:val="right"/>
        <w:rPr>
          <w:sz w:val="24"/>
          <w:szCs w:val="24"/>
        </w:rPr>
      </w:pPr>
      <w:r w:rsidRPr="00E11BBB">
        <w:rPr>
          <w:sz w:val="24"/>
          <w:szCs w:val="24"/>
        </w:rPr>
        <w:t>Приложение</w:t>
      </w:r>
    </w:p>
    <w:p w:rsidR="00157268" w:rsidRDefault="00157268" w:rsidP="00E11BBB">
      <w:pPr>
        <w:ind w:right="283"/>
        <w:jc w:val="right"/>
        <w:rPr>
          <w:sz w:val="24"/>
          <w:szCs w:val="24"/>
        </w:rPr>
      </w:pPr>
    </w:p>
    <w:p w:rsidR="00E11BBB" w:rsidRPr="00E11BBB" w:rsidRDefault="00E11BBB" w:rsidP="00E11BBB">
      <w:pPr>
        <w:widowControl w:val="0"/>
        <w:jc w:val="center"/>
        <w:rPr>
          <w:b/>
          <w:snapToGrid w:val="0"/>
          <w:sz w:val="28"/>
          <w:szCs w:val="28"/>
        </w:rPr>
      </w:pPr>
      <w:r w:rsidRPr="00E11BBB">
        <w:rPr>
          <w:b/>
          <w:snapToGrid w:val="0"/>
          <w:sz w:val="28"/>
          <w:szCs w:val="28"/>
        </w:rPr>
        <w:t>ИНФОРМАЦИЯ</w:t>
      </w:r>
    </w:p>
    <w:p w:rsidR="00E11BBB" w:rsidRPr="00E0100A" w:rsidRDefault="00E0100A" w:rsidP="00EE5391">
      <w:pPr>
        <w:widowControl w:val="0"/>
        <w:jc w:val="center"/>
        <w:rPr>
          <w:b/>
          <w:sz w:val="28"/>
          <w:szCs w:val="28"/>
        </w:rPr>
      </w:pPr>
      <w:r w:rsidRPr="00E0100A">
        <w:rPr>
          <w:b/>
          <w:sz w:val="28"/>
          <w:szCs w:val="28"/>
        </w:rPr>
        <w:t>«Об итогах работы по переходу на новую систему обращения с ТКО в Яковлевском муниципальном районе и о работе в данном направлении в 2021, 2022 годах»</w:t>
      </w:r>
    </w:p>
    <w:p w:rsidR="00E0100A" w:rsidRDefault="00E0100A" w:rsidP="00EE5391">
      <w:pPr>
        <w:widowControl w:val="0"/>
        <w:jc w:val="center"/>
        <w:rPr>
          <w:snapToGrid w:val="0"/>
          <w:sz w:val="28"/>
          <w:szCs w:val="28"/>
        </w:rPr>
      </w:pPr>
    </w:p>
    <w:p w:rsidR="00BA38EB" w:rsidRPr="00BA38EB" w:rsidRDefault="00BA38EB" w:rsidP="009541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38EB">
        <w:rPr>
          <w:sz w:val="28"/>
          <w:szCs w:val="28"/>
        </w:rPr>
        <w:t xml:space="preserve">а сегодняшний день </w:t>
      </w:r>
      <w:r>
        <w:rPr>
          <w:sz w:val="28"/>
          <w:szCs w:val="28"/>
        </w:rPr>
        <w:t xml:space="preserve">по вопросу перехода на новую систему обращения с ТКО </w:t>
      </w:r>
      <w:r w:rsidRPr="00BA38EB">
        <w:rPr>
          <w:sz w:val="28"/>
          <w:szCs w:val="28"/>
        </w:rPr>
        <w:t>подготовлена вся необходимая нормативно-правовая база</w:t>
      </w:r>
      <w:r>
        <w:rPr>
          <w:sz w:val="28"/>
          <w:szCs w:val="28"/>
        </w:rPr>
        <w:t xml:space="preserve"> в части создания мест накопления ТКО, порядка ведения реестра мест накопления ТКО и требования к их созданию и включению в реестр</w:t>
      </w:r>
      <w:r w:rsidRPr="00BA38EB">
        <w:rPr>
          <w:sz w:val="28"/>
          <w:szCs w:val="28"/>
        </w:rPr>
        <w:t xml:space="preserve">. </w:t>
      </w:r>
    </w:p>
    <w:p w:rsidR="00BA38EB" w:rsidRPr="00BA38EB" w:rsidRDefault="00BA38EB" w:rsidP="00954192">
      <w:pPr>
        <w:widowControl w:val="0"/>
        <w:ind w:firstLine="720"/>
        <w:jc w:val="both"/>
        <w:rPr>
          <w:sz w:val="28"/>
          <w:szCs w:val="28"/>
        </w:rPr>
      </w:pPr>
      <w:r w:rsidRPr="00BA38EB">
        <w:rPr>
          <w:sz w:val="28"/>
          <w:szCs w:val="28"/>
        </w:rPr>
        <w:t xml:space="preserve">Продолжается работа по определению мест размещения контейнерных </w:t>
      </w:r>
      <w:proofErr w:type="gramStart"/>
      <w:r w:rsidRPr="00BA38EB">
        <w:rPr>
          <w:sz w:val="28"/>
          <w:szCs w:val="28"/>
        </w:rPr>
        <w:t>площадок</w:t>
      </w:r>
      <w:proofErr w:type="gramEnd"/>
      <w:r w:rsidRPr="00BA38EB">
        <w:rPr>
          <w:sz w:val="28"/>
          <w:szCs w:val="28"/>
        </w:rPr>
        <w:t xml:space="preserve"> как для многоквартирных домов так и для </w:t>
      </w:r>
      <w:r w:rsidR="00647162">
        <w:rPr>
          <w:sz w:val="28"/>
          <w:szCs w:val="28"/>
        </w:rPr>
        <w:t xml:space="preserve">жилфонда </w:t>
      </w:r>
      <w:r w:rsidRPr="00BA38EB">
        <w:rPr>
          <w:sz w:val="28"/>
          <w:szCs w:val="28"/>
        </w:rPr>
        <w:t xml:space="preserve">частного сектора. </w:t>
      </w:r>
    </w:p>
    <w:p w:rsidR="00BA38EB" w:rsidRPr="00BA38EB" w:rsidRDefault="00BA38EB" w:rsidP="00954192">
      <w:pPr>
        <w:widowControl w:val="0"/>
        <w:ind w:firstLine="720"/>
        <w:jc w:val="both"/>
        <w:rPr>
          <w:sz w:val="28"/>
          <w:szCs w:val="28"/>
        </w:rPr>
      </w:pPr>
      <w:r w:rsidRPr="00BA38EB">
        <w:rPr>
          <w:sz w:val="28"/>
          <w:szCs w:val="28"/>
        </w:rPr>
        <w:t xml:space="preserve">На сегодняшний день необходимо определить места для размещения контейнерных площадок по Варфоломеевскому и Новосысоевскому сельским поселениям. </w:t>
      </w:r>
    </w:p>
    <w:p w:rsidR="00647162" w:rsidRDefault="00647162" w:rsidP="00954192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2020 по 2022 годы в бюджете Яковлевского муниципального района (муниципальная программа «Охрана окружающей среды Яковлевского муниципального района» на 2019 – 2025 годы») предусмотрены финансовые средства в размере 6 000,00 тыс. руб. на строительство контейнерных </w:t>
      </w:r>
      <w:proofErr w:type="gramStart"/>
      <w:r>
        <w:rPr>
          <w:sz w:val="28"/>
          <w:szCs w:val="28"/>
        </w:rPr>
        <w:t>площадок</w:t>
      </w:r>
      <w:proofErr w:type="gramEnd"/>
      <w:r>
        <w:rPr>
          <w:sz w:val="28"/>
          <w:szCs w:val="28"/>
        </w:rPr>
        <w:t xml:space="preserve"> как для собственников жилых помещений многоквартирных домов, так и для жителей частного сектора. Также муниципальной программой предусмотрено финансирование мероприятий по содержанию построенных муниципалитетом </w:t>
      </w:r>
      <w:r w:rsidRPr="00153DB4">
        <w:rPr>
          <w:sz w:val="28"/>
          <w:szCs w:val="28"/>
        </w:rPr>
        <w:t>площадок (мест) накопления твердых коммунальных отходов</w:t>
      </w:r>
      <w:r>
        <w:rPr>
          <w:sz w:val="28"/>
          <w:szCs w:val="28"/>
        </w:rPr>
        <w:t xml:space="preserve"> на период с 2020 по 2025 годы в размере 2 750,00 тыс. руб.</w:t>
      </w:r>
    </w:p>
    <w:p w:rsidR="00647162" w:rsidRDefault="009C6A64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 2020 год и первое полугодие 2021 года на мероприятия по строительству и содержанию мест накопления ТКО было израсходовано 1 571 429, 32 руб., без учета затрат на межевание земельных участков и проведения кадастровых работ.</w:t>
      </w:r>
    </w:p>
    <w:p w:rsidR="00D82088" w:rsidRPr="00D82088" w:rsidRDefault="00D82088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D82088">
        <w:rPr>
          <w:snapToGrid w:val="0"/>
          <w:sz w:val="28"/>
          <w:szCs w:val="28"/>
        </w:rPr>
        <w:t>За 2019-202</w:t>
      </w:r>
      <w:r w:rsidR="0035068E">
        <w:rPr>
          <w:snapToGrid w:val="0"/>
          <w:sz w:val="28"/>
          <w:szCs w:val="28"/>
        </w:rPr>
        <w:t>1</w:t>
      </w:r>
      <w:r w:rsidRPr="00D82088">
        <w:rPr>
          <w:snapToGrid w:val="0"/>
          <w:sz w:val="28"/>
          <w:szCs w:val="28"/>
        </w:rPr>
        <w:t xml:space="preserve"> годы администрацией Яковлевского муниципального района обустроено 26 контейнерные площадки на общую сумму 1 905 862,23 руб. Поставлено на кадастровый учет 51 земельный участок под размещение контейнерных площадок.</w:t>
      </w:r>
    </w:p>
    <w:p w:rsidR="00D82088" w:rsidRPr="00D82088" w:rsidRDefault="00D82088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D82088">
        <w:rPr>
          <w:snapToGrid w:val="0"/>
          <w:sz w:val="28"/>
          <w:szCs w:val="28"/>
        </w:rPr>
        <w:t>Все обустроенные площадки своевременно внесены в реестр. Работа по организации мест накопления ТКО будет продолжена в 202</w:t>
      </w:r>
      <w:r>
        <w:rPr>
          <w:snapToGrid w:val="0"/>
          <w:sz w:val="28"/>
          <w:szCs w:val="28"/>
        </w:rPr>
        <w:t>2</w:t>
      </w:r>
      <w:r w:rsidRPr="00D82088">
        <w:rPr>
          <w:snapToGrid w:val="0"/>
          <w:sz w:val="28"/>
          <w:szCs w:val="28"/>
        </w:rPr>
        <w:t xml:space="preserve"> и последующие годы.</w:t>
      </w:r>
    </w:p>
    <w:p w:rsidR="00647162" w:rsidRDefault="00D82088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D82088">
        <w:rPr>
          <w:snapToGrid w:val="0"/>
          <w:sz w:val="28"/>
          <w:szCs w:val="28"/>
        </w:rPr>
        <w:t>В настоящее время в реестре мест</w:t>
      </w:r>
      <w:r w:rsidR="0035068E">
        <w:rPr>
          <w:snapToGrid w:val="0"/>
          <w:sz w:val="28"/>
          <w:szCs w:val="28"/>
        </w:rPr>
        <w:t xml:space="preserve"> </w:t>
      </w:r>
      <w:r w:rsidRPr="00D82088">
        <w:rPr>
          <w:snapToGrid w:val="0"/>
          <w:sz w:val="28"/>
          <w:szCs w:val="28"/>
        </w:rPr>
        <w:t xml:space="preserve">(площадок) накопления ТКО на территории Яковлевского муниципального района числится 35 контейнерных площадок, из них 26 муниципальных. </w:t>
      </w:r>
      <w:r w:rsidR="00647162" w:rsidRPr="00647162">
        <w:rPr>
          <w:snapToGrid w:val="0"/>
          <w:sz w:val="28"/>
          <w:szCs w:val="28"/>
        </w:rPr>
        <w:t>Все обустроенные площадки своевременно внесены в реестр. Работа по организации мест накопления ТКО будет продолжена в 2021 и последующие годы.</w:t>
      </w:r>
    </w:p>
    <w:p w:rsidR="00D82088" w:rsidRDefault="0035068E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225D98">
        <w:rPr>
          <w:sz w:val="28"/>
          <w:szCs w:val="28"/>
        </w:rPr>
        <w:t xml:space="preserve">На мероприятие по содержанию площадок (мест) накопления твердых коммунальных отходов </w:t>
      </w:r>
      <w:r>
        <w:rPr>
          <w:sz w:val="28"/>
          <w:szCs w:val="28"/>
        </w:rPr>
        <w:t xml:space="preserve">в муниципальной программе </w:t>
      </w:r>
      <w:r w:rsidRPr="00225D98">
        <w:rPr>
          <w:sz w:val="28"/>
          <w:szCs w:val="28"/>
        </w:rPr>
        <w:t xml:space="preserve">запланировано 250 000,00 руб. за счет средств местного бюджета. С ООО «Водоканал-Сервис» </w:t>
      </w:r>
      <w:r>
        <w:rPr>
          <w:sz w:val="28"/>
          <w:szCs w:val="28"/>
        </w:rPr>
        <w:t xml:space="preserve">был </w:t>
      </w:r>
      <w:r w:rsidRPr="00225D98">
        <w:rPr>
          <w:sz w:val="28"/>
          <w:szCs w:val="28"/>
        </w:rPr>
        <w:lastRenderedPageBreak/>
        <w:t>заключен годовой договор на ежемесячное содержание мест накопления ТКО (площадок)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Яковлевка.  По содержанию площадок ТКО в других населенных пунктах подрядчик в настоящее время не определен.</w:t>
      </w:r>
    </w:p>
    <w:p w:rsidR="00D82088" w:rsidRPr="00D82088" w:rsidRDefault="00D82088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D82088">
        <w:rPr>
          <w:snapToGrid w:val="0"/>
          <w:sz w:val="28"/>
          <w:szCs w:val="28"/>
        </w:rPr>
        <w:t>В целях организации сбора ТКО от населения частного сектора с. Новосысоевка</w:t>
      </w:r>
      <w:r w:rsidR="0035068E">
        <w:rPr>
          <w:snapToGrid w:val="0"/>
          <w:sz w:val="28"/>
          <w:szCs w:val="28"/>
        </w:rPr>
        <w:t>, ст. Варфоломеевка</w:t>
      </w:r>
      <w:r w:rsidRPr="00D82088">
        <w:rPr>
          <w:snapToGrid w:val="0"/>
          <w:sz w:val="28"/>
          <w:szCs w:val="28"/>
        </w:rPr>
        <w:t xml:space="preserve"> и </w:t>
      </w:r>
      <w:proofErr w:type="gramStart"/>
      <w:r w:rsidRPr="00D82088">
        <w:rPr>
          <w:snapToGrid w:val="0"/>
          <w:sz w:val="28"/>
          <w:szCs w:val="28"/>
        </w:rPr>
        <w:t>с</w:t>
      </w:r>
      <w:proofErr w:type="gramEnd"/>
      <w:r w:rsidRPr="00D82088">
        <w:rPr>
          <w:snapToGrid w:val="0"/>
          <w:sz w:val="28"/>
          <w:szCs w:val="28"/>
        </w:rPr>
        <w:t xml:space="preserve">. </w:t>
      </w:r>
      <w:proofErr w:type="gramStart"/>
      <w:r w:rsidRPr="00D82088">
        <w:rPr>
          <w:snapToGrid w:val="0"/>
          <w:sz w:val="28"/>
          <w:szCs w:val="28"/>
        </w:rPr>
        <w:t>Яковлевка</w:t>
      </w:r>
      <w:proofErr w:type="gramEnd"/>
      <w:r w:rsidRPr="00D82088">
        <w:rPr>
          <w:snapToGrid w:val="0"/>
          <w:sz w:val="28"/>
          <w:szCs w:val="28"/>
        </w:rPr>
        <w:t>,</w:t>
      </w:r>
      <w:r w:rsidR="0035068E">
        <w:rPr>
          <w:snapToGrid w:val="0"/>
          <w:sz w:val="28"/>
          <w:szCs w:val="28"/>
        </w:rPr>
        <w:t xml:space="preserve"> по предварительной договоренности с регоператором</w:t>
      </w:r>
      <w:r w:rsidRPr="00D82088">
        <w:rPr>
          <w:snapToGrid w:val="0"/>
          <w:sz w:val="28"/>
          <w:szCs w:val="28"/>
        </w:rPr>
        <w:t xml:space="preserve"> Администрацией Яковлевского муниципального района 11.08.2021 года были установлены контейнеры, ранее предоставленные КГУП «ПЭО», для пакетированного сбора с целью удобства выгрузки ТКО в спецтранспорт. В случае отсутствия жалоб и обращений от населения о местах расположения установленных контейнеров, в данных местах </w:t>
      </w:r>
      <w:r>
        <w:rPr>
          <w:snapToGrid w:val="0"/>
          <w:sz w:val="28"/>
          <w:szCs w:val="28"/>
        </w:rPr>
        <w:t>планируется</w:t>
      </w:r>
      <w:r w:rsidRPr="00D82088">
        <w:rPr>
          <w:snapToGrid w:val="0"/>
          <w:sz w:val="28"/>
          <w:szCs w:val="28"/>
        </w:rPr>
        <w:t xml:space="preserve"> проведен</w:t>
      </w:r>
      <w:r>
        <w:rPr>
          <w:snapToGrid w:val="0"/>
          <w:sz w:val="28"/>
          <w:szCs w:val="28"/>
        </w:rPr>
        <w:t>ие работ</w:t>
      </w:r>
      <w:r w:rsidRPr="00D82088">
        <w:rPr>
          <w:snapToGrid w:val="0"/>
          <w:sz w:val="28"/>
          <w:szCs w:val="28"/>
        </w:rPr>
        <w:t xml:space="preserve"> по межеванию земельных участков с дальнейшим обустройством стационарных контейнерных площадок соответствующих требованиям санитарного законодательства.</w:t>
      </w:r>
    </w:p>
    <w:p w:rsidR="00D82088" w:rsidRPr="0035068E" w:rsidRDefault="00D82088" w:rsidP="0095419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D82088">
        <w:rPr>
          <w:snapToGrid w:val="0"/>
          <w:sz w:val="28"/>
          <w:szCs w:val="28"/>
        </w:rPr>
        <w:t xml:space="preserve">Инвентарные номера контейнеров, адреса и географические координаты расположения контейнеров </w:t>
      </w:r>
      <w:r>
        <w:rPr>
          <w:snapToGrid w:val="0"/>
          <w:sz w:val="28"/>
          <w:szCs w:val="28"/>
        </w:rPr>
        <w:t xml:space="preserve">в адрес регионального оператора с просьбой </w:t>
      </w:r>
      <w:r w:rsidRPr="00D82088">
        <w:rPr>
          <w:snapToGrid w:val="0"/>
          <w:sz w:val="28"/>
          <w:szCs w:val="28"/>
        </w:rPr>
        <w:t>организовать работу по своевременному вывозу ТКО с указанных контейнеров и довести график вывоза до Администрации Яковлевского муниципального района для информирования населения.</w:t>
      </w:r>
      <w:r>
        <w:rPr>
          <w:snapToGrid w:val="0"/>
          <w:sz w:val="28"/>
          <w:szCs w:val="28"/>
        </w:rPr>
        <w:t xml:space="preserve"> Позже график </w:t>
      </w:r>
      <w:r w:rsidR="0035068E">
        <w:rPr>
          <w:snapToGrid w:val="0"/>
          <w:sz w:val="28"/>
          <w:szCs w:val="28"/>
        </w:rPr>
        <w:t xml:space="preserve">вывоза отходов с указанных контейнеров </w:t>
      </w:r>
      <w:r>
        <w:rPr>
          <w:snapToGrid w:val="0"/>
          <w:sz w:val="28"/>
          <w:szCs w:val="28"/>
        </w:rPr>
        <w:t xml:space="preserve">был размещен на </w:t>
      </w:r>
      <w:proofErr w:type="gramStart"/>
      <w:r>
        <w:rPr>
          <w:snapToGrid w:val="0"/>
          <w:sz w:val="28"/>
          <w:szCs w:val="28"/>
        </w:rPr>
        <w:t>официальном</w:t>
      </w:r>
      <w:proofErr w:type="gramEnd"/>
      <w:r>
        <w:rPr>
          <w:snapToGrid w:val="0"/>
          <w:sz w:val="28"/>
          <w:szCs w:val="28"/>
        </w:rPr>
        <w:t xml:space="preserve"> аккаунте Администрации района в социальной сети </w:t>
      </w:r>
      <w:r>
        <w:rPr>
          <w:snapToGrid w:val="0"/>
          <w:sz w:val="28"/>
          <w:szCs w:val="28"/>
          <w:lang w:val="en-US"/>
        </w:rPr>
        <w:t>Telegram</w:t>
      </w:r>
      <w:r w:rsidR="0035068E" w:rsidRPr="0035068E">
        <w:rPr>
          <w:snapToGrid w:val="0"/>
          <w:sz w:val="28"/>
          <w:szCs w:val="28"/>
        </w:rPr>
        <w:t>.</w:t>
      </w:r>
      <w:r w:rsidR="00B122FA">
        <w:rPr>
          <w:snapToGrid w:val="0"/>
          <w:sz w:val="28"/>
          <w:szCs w:val="28"/>
        </w:rPr>
        <w:t xml:space="preserve"> В настоящее время вывоз ТКО производится согласно представленному графику.</w:t>
      </w:r>
    </w:p>
    <w:p w:rsidR="0020009E" w:rsidRDefault="0020009E" w:rsidP="009541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конца текущего года</w:t>
      </w:r>
      <w:r w:rsidR="00EB6C94">
        <w:rPr>
          <w:sz w:val="28"/>
          <w:szCs w:val="28"/>
        </w:rPr>
        <w:t xml:space="preserve">, в </w:t>
      </w:r>
      <w:proofErr w:type="gramStart"/>
      <w:r w:rsidR="00EB6C94">
        <w:rPr>
          <w:sz w:val="28"/>
          <w:szCs w:val="28"/>
        </w:rPr>
        <w:t>рамках</w:t>
      </w:r>
      <w:proofErr w:type="gramEnd"/>
      <w:r w:rsidR="00EB6C94">
        <w:rPr>
          <w:sz w:val="28"/>
          <w:szCs w:val="28"/>
        </w:rPr>
        <w:t xml:space="preserve"> возложенных на муниципалитет полномочий,</w:t>
      </w:r>
      <w:r>
        <w:rPr>
          <w:sz w:val="28"/>
          <w:szCs w:val="28"/>
        </w:rPr>
        <w:t xml:space="preserve"> будет </w:t>
      </w:r>
      <w:r w:rsidRPr="0020009E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20009E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амма экологического воспитания </w:t>
      </w:r>
      <w:r w:rsidRPr="0020009E">
        <w:rPr>
          <w:sz w:val="28"/>
          <w:szCs w:val="28"/>
        </w:rPr>
        <w:t>и формирования экологической культуры населения Яковлевского муниципального района в области обращения с твердыми коммунальными отходами на 202</w:t>
      </w:r>
      <w:r>
        <w:rPr>
          <w:sz w:val="28"/>
          <w:szCs w:val="28"/>
        </w:rPr>
        <w:t>2</w:t>
      </w:r>
      <w:r w:rsidRPr="0020009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009E" w:rsidRDefault="0020009E" w:rsidP="009541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средства массовой информации (газета, официальные аккаунты </w:t>
      </w:r>
      <w:proofErr w:type="spellStart"/>
      <w:r>
        <w:rPr>
          <w:sz w:val="28"/>
          <w:szCs w:val="28"/>
        </w:rPr>
        <w:t>соц</w:t>
      </w:r>
      <w:proofErr w:type="gramStart"/>
      <w:r w:rsidR="00EB6C9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етей</w:t>
      </w:r>
      <w:proofErr w:type="spellEnd"/>
      <w:r>
        <w:rPr>
          <w:sz w:val="28"/>
          <w:szCs w:val="28"/>
        </w:rPr>
        <w:t>) периодически публикуются материалы по вопросам обращения с ТКО. Так</w:t>
      </w:r>
      <w:r w:rsidR="00F26AA9">
        <w:rPr>
          <w:sz w:val="28"/>
          <w:szCs w:val="28"/>
        </w:rPr>
        <w:t xml:space="preserve">, за </w:t>
      </w:r>
      <w:r w:rsidR="00EB6C94">
        <w:rPr>
          <w:sz w:val="28"/>
          <w:szCs w:val="28"/>
        </w:rPr>
        <w:t xml:space="preserve">прошедший период </w:t>
      </w:r>
      <w:r w:rsidR="00F26AA9">
        <w:rPr>
          <w:sz w:val="28"/>
          <w:szCs w:val="28"/>
        </w:rPr>
        <w:t>202</w:t>
      </w:r>
      <w:r w:rsidR="00EB6C94">
        <w:rPr>
          <w:sz w:val="28"/>
          <w:szCs w:val="28"/>
        </w:rPr>
        <w:t>1 года</w:t>
      </w:r>
      <w:r>
        <w:rPr>
          <w:sz w:val="28"/>
          <w:szCs w:val="28"/>
        </w:rPr>
        <w:t xml:space="preserve"> в </w:t>
      </w:r>
      <w:r w:rsidR="00EB6C94">
        <w:rPr>
          <w:sz w:val="28"/>
          <w:szCs w:val="28"/>
        </w:rPr>
        <w:t>районной газете «Сельский труженик» было опубликовано 5 статей по тематике обращения с твердыми коммунальными отходами</w:t>
      </w:r>
      <w:r w:rsidR="00F34502">
        <w:rPr>
          <w:sz w:val="28"/>
          <w:szCs w:val="28"/>
        </w:rPr>
        <w:t>. Большинство статей были взяты с сайта Правительства Приморского края</w:t>
      </w:r>
      <w:proofErr w:type="gramStart"/>
      <w:r w:rsidR="00F34502">
        <w:rPr>
          <w:sz w:val="28"/>
          <w:szCs w:val="28"/>
        </w:rPr>
        <w:t>.</w:t>
      </w:r>
      <w:proofErr w:type="gramEnd"/>
      <w:r w:rsidR="00524BFF">
        <w:rPr>
          <w:sz w:val="28"/>
          <w:szCs w:val="28"/>
        </w:rPr>
        <w:t xml:space="preserve"> (</w:t>
      </w:r>
      <w:proofErr w:type="gramStart"/>
      <w:r w:rsidR="00524BFF">
        <w:rPr>
          <w:sz w:val="28"/>
          <w:szCs w:val="28"/>
        </w:rPr>
        <w:t>п</w:t>
      </w:r>
      <w:proofErr w:type="gramEnd"/>
      <w:r w:rsidR="00524BFF">
        <w:rPr>
          <w:sz w:val="28"/>
          <w:szCs w:val="28"/>
        </w:rPr>
        <w:t>олосы газеты «Сельский труженик» прилагаются).</w:t>
      </w:r>
    </w:p>
    <w:p w:rsidR="009611A0" w:rsidRPr="009611A0" w:rsidRDefault="00954192" w:rsidP="009541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внедрения раздельного сбора коммунальных отходов, согласно п</w:t>
      </w:r>
      <w:r w:rsidR="005857EA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="005857EA">
        <w:rPr>
          <w:sz w:val="28"/>
          <w:szCs w:val="28"/>
        </w:rPr>
        <w:t xml:space="preserve"> министерства жилищно-коммунального хозяйства Приморского края от 01.04.2020 года № пр.19-87/7 «Об утверждении Плана мероприятий по введению раздельного сбора твердых коммунальных отходов»</w:t>
      </w:r>
      <w:r w:rsidR="009611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11A0" w:rsidRPr="009611A0">
        <w:rPr>
          <w:sz w:val="28"/>
          <w:szCs w:val="28"/>
        </w:rPr>
        <w:t>недрение РСО на территории Приморско</w:t>
      </w:r>
      <w:r w:rsidR="009611A0">
        <w:rPr>
          <w:sz w:val="28"/>
          <w:szCs w:val="28"/>
        </w:rPr>
        <w:t xml:space="preserve">го края планируется по дуальной </w:t>
      </w:r>
      <w:r w:rsidR="009611A0" w:rsidRPr="009611A0">
        <w:rPr>
          <w:sz w:val="28"/>
          <w:szCs w:val="28"/>
        </w:rPr>
        <w:t>системе сбора отходов, которая предполагает разделение мусора на два потока:</w:t>
      </w:r>
      <w:r w:rsidR="009611A0">
        <w:rPr>
          <w:sz w:val="28"/>
          <w:szCs w:val="28"/>
        </w:rPr>
        <w:t xml:space="preserve"> 1</w:t>
      </w:r>
      <w:r w:rsidR="009611A0" w:rsidRPr="009611A0">
        <w:rPr>
          <w:sz w:val="28"/>
          <w:szCs w:val="28"/>
        </w:rPr>
        <w:t xml:space="preserve"> поток - так называемые «перерабатываемые» отходы, пригодные для</w:t>
      </w:r>
      <w:r w:rsidR="009611A0">
        <w:rPr>
          <w:sz w:val="28"/>
          <w:szCs w:val="28"/>
        </w:rPr>
        <w:t xml:space="preserve"> </w:t>
      </w:r>
      <w:r w:rsidR="009611A0" w:rsidRPr="009611A0">
        <w:rPr>
          <w:sz w:val="28"/>
          <w:szCs w:val="28"/>
        </w:rPr>
        <w:t>дальнейшей утилизации, в том числе вторичной переработки, например: ПЭТ,</w:t>
      </w:r>
      <w:r w:rsidR="009611A0">
        <w:rPr>
          <w:sz w:val="28"/>
          <w:szCs w:val="28"/>
        </w:rPr>
        <w:t xml:space="preserve"> </w:t>
      </w:r>
      <w:r w:rsidR="009611A0" w:rsidRPr="009611A0">
        <w:rPr>
          <w:sz w:val="28"/>
          <w:szCs w:val="28"/>
        </w:rPr>
        <w:t>металл, пластик, стекло, макулатура и т.п. Второй поток - «</w:t>
      </w:r>
      <w:proofErr w:type="spellStart"/>
      <w:r w:rsidR="009611A0" w:rsidRPr="009611A0">
        <w:rPr>
          <w:sz w:val="28"/>
          <w:szCs w:val="28"/>
        </w:rPr>
        <w:t>неперерабатываемые</w:t>
      </w:r>
      <w:proofErr w:type="spellEnd"/>
      <w:r w:rsidR="009611A0" w:rsidRPr="009611A0">
        <w:rPr>
          <w:sz w:val="28"/>
          <w:szCs w:val="28"/>
        </w:rPr>
        <w:t>»</w:t>
      </w:r>
      <w:r w:rsidR="009611A0">
        <w:rPr>
          <w:sz w:val="28"/>
          <w:szCs w:val="28"/>
        </w:rPr>
        <w:t xml:space="preserve"> </w:t>
      </w:r>
      <w:r w:rsidR="009611A0" w:rsidRPr="009611A0">
        <w:rPr>
          <w:sz w:val="28"/>
          <w:szCs w:val="28"/>
        </w:rPr>
        <w:t>отходы, состоящие из пищевых отходов и прочих ТКО.</w:t>
      </w:r>
      <w:r w:rsidR="009611A0" w:rsidRPr="009611A0">
        <w:rPr>
          <w:sz w:val="28"/>
          <w:szCs w:val="28"/>
        </w:rPr>
        <w:cr/>
        <w:t xml:space="preserve">Запуск перехода на дуальную систему РСО будет происходить в </w:t>
      </w:r>
      <w:r w:rsidR="009611A0">
        <w:rPr>
          <w:sz w:val="28"/>
          <w:szCs w:val="28"/>
        </w:rPr>
        <w:t xml:space="preserve">следующей </w:t>
      </w:r>
      <w:r w:rsidR="009611A0" w:rsidRPr="009611A0">
        <w:rPr>
          <w:sz w:val="28"/>
          <w:szCs w:val="28"/>
        </w:rPr>
        <w:t>очередности:</w:t>
      </w:r>
    </w:p>
    <w:p w:rsidR="009611A0" w:rsidRPr="009611A0" w:rsidRDefault="009611A0" w:rsidP="00954192">
      <w:pPr>
        <w:widowControl w:val="0"/>
        <w:ind w:firstLine="720"/>
        <w:jc w:val="both"/>
        <w:rPr>
          <w:sz w:val="28"/>
          <w:szCs w:val="28"/>
        </w:rPr>
      </w:pPr>
      <w:r w:rsidRPr="009611A0">
        <w:rPr>
          <w:sz w:val="28"/>
          <w:szCs w:val="28"/>
        </w:rPr>
        <w:t xml:space="preserve">1я очередь: </w:t>
      </w:r>
      <w:r w:rsidR="00037BBF">
        <w:rPr>
          <w:sz w:val="28"/>
          <w:szCs w:val="28"/>
        </w:rPr>
        <w:t>г</w:t>
      </w:r>
      <w:r w:rsidRPr="009611A0">
        <w:rPr>
          <w:sz w:val="28"/>
          <w:szCs w:val="28"/>
        </w:rPr>
        <w:t>орода крупных агломераций с населе</w:t>
      </w:r>
      <w:r w:rsidR="00037BBF">
        <w:rPr>
          <w:sz w:val="28"/>
          <w:szCs w:val="28"/>
        </w:rPr>
        <w:t xml:space="preserve">нием свыше 200 тыс. человек: </w:t>
      </w:r>
      <w:proofErr w:type="spellStart"/>
      <w:r w:rsidR="00037BBF">
        <w:rPr>
          <w:sz w:val="28"/>
          <w:szCs w:val="28"/>
        </w:rPr>
        <w:t>г</w:t>
      </w:r>
      <w:proofErr w:type="gramStart"/>
      <w:r w:rsidR="00037BBF">
        <w:rPr>
          <w:sz w:val="28"/>
          <w:szCs w:val="28"/>
        </w:rPr>
        <w:t>.</w:t>
      </w:r>
      <w:r w:rsidRPr="009611A0">
        <w:rPr>
          <w:sz w:val="28"/>
          <w:szCs w:val="28"/>
        </w:rPr>
        <w:t>В</w:t>
      </w:r>
      <w:proofErr w:type="gramEnd"/>
      <w:r w:rsidRPr="009611A0">
        <w:rPr>
          <w:sz w:val="28"/>
          <w:szCs w:val="28"/>
        </w:rPr>
        <w:t>ладивосток</w:t>
      </w:r>
      <w:proofErr w:type="spellEnd"/>
      <w:r w:rsidRPr="009611A0">
        <w:rPr>
          <w:sz w:val="28"/>
          <w:szCs w:val="28"/>
        </w:rPr>
        <w:t xml:space="preserve"> (605 </w:t>
      </w:r>
      <w:proofErr w:type="spellStart"/>
      <w:r w:rsidRPr="009611A0">
        <w:rPr>
          <w:sz w:val="28"/>
          <w:szCs w:val="28"/>
        </w:rPr>
        <w:t>тыс.чел</w:t>
      </w:r>
      <w:proofErr w:type="spellEnd"/>
      <w:r w:rsidRPr="009611A0">
        <w:rPr>
          <w:sz w:val="28"/>
          <w:szCs w:val="28"/>
        </w:rPr>
        <w:t>.).</w:t>
      </w:r>
    </w:p>
    <w:p w:rsidR="009611A0" w:rsidRPr="009611A0" w:rsidRDefault="009611A0" w:rsidP="00954192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611A0">
        <w:rPr>
          <w:sz w:val="28"/>
          <w:szCs w:val="28"/>
        </w:rPr>
        <w:lastRenderedPageBreak/>
        <w:t xml:space="preserve">2я очередь: </w:t>
      </w:r>
      <w:r w:rsidR="00037BBF">
        <w:rPr>
          <w:sz w:val="28"/>
          <w:szCs w:val="28"/>
        </w:rPr>
        <w:t>г</w:t>
      </w:r>
      <w:r w:rsidRPr="009611A0">
        <w:rPr>
          <w:sz w:val="28"/>
          <w:szCs w:val="28"/>
        </w:rPr>
        <w:t xml:space="preserve">орода с населением от 100 до 200 </w:t>
      </w:r>
      <w:r w:rsidR="00037BBF">
        <w:rPr>
          <w:sz w:val="28"/>
          <w:szCs w:val="28"/>
        </w:rPr>
        <w:t>тыс. человек: г. Уссурийск (173</w:t>
      </w:r>
      <w:r w:rsidRPr="009611A0">
        <w:rPr>
          <w:sz w:val="28"/>
          <w:szCs w:val="28"/>
        </w:rPr>
        <w:t>тыс. чел.), г. Находка (147 тыс. чел.), г. Артем (106 тыс. чел.).</w:t>
      </w:r>
      <w:proofErr w:type="gramEnd"/>
    </w:p>
    <w:p w:rsidR="009611A0" w:rsidRDefault="009611A0" w:rsidP="00954192">
      <w:pPr>
        <w:widowControl w:val="0"/>
        <w:ind w:firstLine="720"/>
        <w:jc w:val="both"/>
        <w:rPr>
          <w:sz w:val="28"/>
          <w:szCs w:val="28"/>
        </w:rPr>
      </w:pPr>
      <w:r w:rsidRPr="009611A0">
        <w:rPr>
          <w:sz w:val="28"/>
          <w:szCs w:val="28"/>
        </w:rPr>
        <w:t>3я очередь</w:t>
      </w:r>
      <w:r w:rsidR="00037BBF">
        <w:rPr>
          <w:sz w:val="28"/>
          <w:szCs w:val="28"/>
        </w:rPr>
        <w:t xml:space="preserve"> (2023-2024 годы)</w:t>
      </w:r>
      <w:r w:rsidRPr="009611A0">
        <w:rPr>
          <w:sz w:val="28"/>
          <w:szCs w:val="28"/>
        </w:rPr>
        <w:t xml:space="preserve">: </w:t>
      </w:r>
      <w:r w:rsidR="00037BBF">
        <w:rPr>
          <w:sz w:val="28"/>
          <w:szCs w:val="28"/>
        </w:rPr>
        <w:t>г</w:t>
      </w:r>
      <w:r w:rsidRPr="009611A0">
        <w:rPr>
          <w:sz w:val="28"/>
          <w:szCs w:val="28"/>
        </w:rPr>
        <w:t>орода с населением менее 100 тыс</w:t>
      </w:r>
      <w:r w:rsidR="00037BBF">
        <w:rPr>
          <w:sz w:val="28"/>
          <w:szCs w:val="28"/>
        </w:rPr>
        <w:t xml:space="preserve">. человек, г. Арсеньев (52 </w:t>
      </w:r>
      <w:proofErr w:type="spellStart"/>
      <w:r w:rsidR="00037BBF">
        <w:rPr>
          <w:sz w:val="28"/>
          <w:szCs w:val="28"/>
        </w:rPr>
        <w:t>тыс</w:t>
      </w:r>
      <w:proofErr w:type="gramStart"/>
      <w:r w:rsidR="00037BBF">
        <w:rPr>
          <w:sz w:val="28"/>
          <w:szCs w:val="28"/>
        </w:rPr>
        <w:t>.</w:t>
      </w:r>
      <w:r w:rsidRPr="009611A0">
        <w:rPr>
          <w:sz w:val="28"/>
          <w:szCs w:val="28"/>
        </w:rPr>
        <w:t>ч</w:t>
      </w:r>
      <w:proofErr w:type="gramEnd"/>
      <w:r w:rsidRPr="009611A0">
        <w:rPr>
          <w:sz w:val="28"/>
          <w:szCs w:val="28"/>
        </w:rPr>
        <w:t>ел</w:t>
      </w:r>
      <w:proofErr w:type="spellEnd"/>
      <w:r w:rsidRPr="009611A0">
        <w:rPr>
          <w:sz w:val="28"/>
          <w:szCs w:val="28"/>
        </w:rPr>
        <w:t>.), г. Спасск-Дальний (40 тыс. чел), г. Большой Камень (37 тыс. чел.), г.</w:t>
      </w:r>
      <w:r w:rsidR="00037BBF">
        <w:rPr>
          <w:sz w:val="28"/>
          <w:szCs w:val="28"/>
        </w:rPr>
        <w:t xml:space="preserve"> </w:t>
      </w:r>
      <w:proofErr w:type="spellStart"/>
      <w:r w:rsidRPr="009611A0">
        <w:rPr>
          <w:sz w:val="28"/>
          <w:szCs w:val="28"/>
        </w:rPr>
        <w:t>Партизанск</w:t>
      </w:r>
      <w:proofErr w:type="spellEnd"/>
      <w:r w:rsidRPr="009611A0">
        <w:rPr>
          <w:sz w:val="28"/>
          <w:szCs w:val="28"/>
        </w:rPr>
        <w:t xml:space="preserve"> (36 </w:t>
      </w:r>
      <w:proofErr w:type="spellStart"/>
      <w:r w:rsidRPr="009611A0">
        <w:rPr>
          <w:sz w:val="28"/>
          <w:szCs w:val="28"/>
        </w:rPr>
        <w:t>тыс.чел</w:t>
      </w:r>
      <w:proofErr w:type="spellEnd"/>
      <w:r w:rsidRPr="009611A0">
        <w:rPr>
          <w:sz w:val="28"/>
          <w:szCs w:val="28"/>
        </w:rPr>
        <w:t xml:space="preserve">.), г. Лесозаводск (35 </w:t>
      </w:r>
      <w:proofErr w:type="spellStart"/>
      <w:r w:rsidRPr="009611A0">
        <w:rPr>
          <w:sz w:val="28"/>
          <w:szCs w:val="28"/>
        </w:rPr>
        <w:t>тыс.чел</w:t>
      </w:r>
      <w:proofErr w:type="spellEnd"/>
      <w:r w:rsidRPr="009611A0">
        <w:rPr>
          <w:sz w:val="28"/>
          <w:szCs w:val="28"/>
        </w:rPr>
        <w:t xml:space="preserve">.), г. </w:t>
      </w:r>
      <w:r w:rsidR="00037BBF">
        <w:rPr>
          <w:sz w:val="28"/>
          <w:szCs w:val="28"/>
        </w:rPr>
        <w:t xml:space="preserve">Дальнегорск (34 тыс. чел.), </w:t>
      </w:r>
      <w:r w:rsidRPr="009611A0">
        <w:rPr>
          <w:sz w:val="28"/>
          <w:szCs w:val="28"/>
        </w:rPr>
        <w:t xml:space="preserve">г. Дальнереченск (25 </w:t>
      </w:r>
      <w:proofErr w:type="spellStart"/>
      <w:r w:rsidRPr="009611A0">
        <w:rPr>
          <w:sz w:val="28"/>
          <w:szCs w:val="28"/>
        </w:rPr>
        <w:t>тыс.чел</w:t>
      </w:r>
      <w:proofErr w:type="spellEnd"/>
      <w:r w:rsidRPr="009611A0">
        <w:rPr>
          <w:sz w:val="28"/>
          <w:szCs w:val="28"/>
        </w:rPr>
        <w:t>.), г. Фокино (2</w:t>
      </w:r>
      <w:r w:rsidR="00037BBF">
        <w:rPr>
          <w:sz w:val="28"/>
          <w:szCs w:val="28"/>
        </w:rPr>
        <w:t xml:space="preserve">3 </w:t>
      </w:r>
      <w:proofErr w:type="spellStart"/>
      <w:r w:rsidR="00037BBF">
        <w:rPr>
          <w:sz w:val="28"/>
          <w:szCs w:val="28"/>
        </w:rPr>
        <w:t>тыс.чел</w:t>
      </w:r>
      <w:proofErr w:type="spellEnd"/>
      <w:r w:rsidR="00037BBF">
        <w:rPr>
          <w:sz w:val="28"/>
          <w:szCs w:val="28"/>
        </w:rPr>
        <w:t>.) и другие населенные</w:t>
      </w:r>
      <w:r w:rsidR="00954192">
        <w:rPr>
          <w:sz w:val="28"/>
          <w:szCs w:val="28"/>
        </w:rPr>
        <w:t xml:space="preserve"> </w:t>
      </w:r>
      <w:r w:rsidRPr="009611A0">
        <w:rPr>
          <w:sz w:val="28"/>
          <w:szCs w:val="28"/>
        </w:rPr>
        <w:t>пункты.</w:t>
      </w:r>
      <w:r w:rsidRPr="009611A0">
        <w:rPr>
          <w:sz w:val="28"/>
          <w:szCs w:val="28"/>
        </w:rPr>
        <w:cr/>
      </w:r>
    </w:p>
    <w:p w:rsidR="00954192" w:rsidRDefault="00954192" w:rsidP="00954192">
      <w:pPr>
        <w:widowControl w:val="0"/>
        <w:ind w:firstLine="720"/>
        <w:jc w:val="both"/>
        <w:rPr>
          <w:sz w:val="28"/>
          <w:szCs w:val="28"/>
        </w:rPr>
      </w:pPr>
    </w:p>
    <w:sectPr w:rsidR="00954192" w:rsidSect="0035068E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99"/>
    <w:rsid w:val="00007CC4"/>
    <w:rsid w:val="00037BBF"/>
    <w:rsid w:val="00051706"/>
    <w:rsid w:val="00056BC5"/>
    <w:rsid w:val="00064966"/>
    <w:rsid w:val="00091FD8"/>
    <w:rsid w:val="000C683D"/>
    <w:rsid w:val="000D0D90"/>
    <w:rsid w:val="000F0882"/>
    <w:rsid w:val="000F2F86"/>
    <w:rsid w:val="000F439E"/>
    <w:rsid w:val="00103B2C"/>
    <w:rsid w:val="001232E5"/>
    <w:rsid w:val="00133DCB"/>
    <w:rsid w:val="00135104"/>
    <w:rsid w:val="00150ACA"/>
    <w:rsid w:val="00154E8F"/>
    <w:rsid w:val="00157268"/>
    <w:rsid w:val="00167AEB"/>
    <w:rsid w:val="00182D75"/>
    <w:rsid w:val="001A2962"/>
    <w:rsid w:val="001B62B9"/>
    <w:rsid w:val="0020009E"/>
    <w:rsid w:val="00225D98"/>
    <w:rsid w:val="00231694"/>
    <w:rsid w:val="00250101"/>
    <w:rsid w:val="002801FB"/>
    <w:rsid w:val="00290D23"/>
    <w:rsid w:val="0029541C"/>
    <w:rsid w:val="002C2DE6"/>
    <w:rsid w:val="002C58B2"/>
    <w:rsid w:val="002F0447"/>
    <w:rsid w:val="00313D07"/>
    <w:rsid w:val="00314BB0"/>
    <w:rsid w:val="00322662"/>
    <w:rsid w:val="00333545"/>
    <w:rsid w:val="0035068E"/>
    <w:rsid w:val="003777F0"/>
    <w:rsid w:val="00391DF4"/>
    <w:rsid w:val="003A6D46"/>
    <w:rsid w:val="003E2FE8"/>
    <w:rsid w:val="003F78D1"/>
    <w:rsid w:val="004212C4"/>
    <w:rsid w:val="004525AC"/>
    <w:rsid w:val="0045500B"/>
    <w:rsid w:val="00472B35"/>
    <w:rsid w:val="00484EAA"/>
    <w:rsid w:val="00506992"/>
    <w:rsid w:val="00524BFF"/>
    <w:rsid w:val="005272BC"/>
    <w:rsid w:val="00551D46"/>
    <w:rsid w:val="005629D7"/>
    <w:rsid w:val="00584844"/>
    <w:rsid w:val="005857EA"/>
    <w:rsid w:val="00595D21"/>
    <w:rsid w:val="005A2991"/>
    <w:rsid w:val="005D16FC"/>
    <w:rsid w:val="005D5B79"/>
    <w:rsid w:val="005E3FFB"/>
    <w:rsid w:val="005E4B26"/>
    <w:rsid w:val="00603734"/>
    <w:rsid w:val="006046E3"/>
    <w:rsid w:val="00607D4A"/>
    <w:rsid w:val="00610EDA"/>
    <w:rsid w:val="00626B58"/>
    <w:rsid w:val="00627749"/>
    <w:rsid w:val="00635016"/>
    <w:rsid w:val="006374B1"/>
    <w:rsid w:val="00647162"/>
    <w:rsid w:val="006637B8"/>
    <w:rsid w:val="0068075A"/>
    <w:rsid w:val="006808BD"/>
    <w:rsid w:val="0069175A"/>
    <w:rsid w:val="006A0519"/>
    <w:rsid w:val="006A4681"/>
    <w:rsid w:val="006C2618"/>
    <w:rsid w:val="006E745C"/>
    <w:rsid w:val="006F2FD6"/>
    <w:rsid w:val="0070712A"/>
    <w:rsid w:val="00763145"/>
    <w:rsid w:val="007704DD"/>
    <w:rsid w:val="00770C73"/>
    <w:rsid w:val="00771506"/>
    <w:rsid w:val="00777CC2"/>
    <w:rsid w:val="007A34B8"/>
    <w:rsid w:val="007C216B"/>
    <w:rsid w:val="007C5038"/>
    <w:rsid w:val="007E30C5"/>
    <w:rsid w:val="00822D24"/>
    <w:rsid w:val="00837958"/>
    <w:rsid w:val="00861EF6"/>
    <w:rsid w:val="00877862"/>
    <w:rsid w:val="008A09EF"/>
    <w:rsid w:val="008B2F43"/>
    <w:rsid w:val="008C60F6"/>
    <w:rsid w:val="008E7271"/>
    <w:rsid w:val="008F2961"/>
    <w:rsid w:val="00913794"/>
    <w:rsid w:val="00937699"/>
    <w:rsid w:val="00954192"/>
    <w:rsid w:val="009611A0"/>
    <w:rsid w:val="00973FD5"/>
    <w:rsid w:val="00994877"/>
    <w:rsid w:val="009A00BE"/>
    <w:rsid w:val="009A4A91"/>
    <w:rsid w:val="009A7A6E"/>
    <w:rsid w:val="009B3233"/>
    <w:rsid w:val="009B56DD"/>
    <w:rsid w:val="009C6A64"/>
    <w:rsid w:val="00A143D4"/>
    <w:rsid w:val="00A20C96"/>
    <w:rsid w:val="00A400DD"/>
    <w:rsid w:val="00AC68CD"/>
    <w:rsid w:val="00AE027D"/>
    <w:rsid w:val="00AE310D"/>
    <w:rsid w:val="00AE3255"/>
    <w:rsid w:val="00AE4A6D"/>
    <w:rsid w:val="00AF5493"/>
    <w:rsid w:val="00B122FA"/>
    <w:rsid w:val="00B1450E"/>
    <w:rsid w:val="00B242ED"/>
    <w:rsid w:val="00B31386"/>
    <w:rsid w:val="00B3731B"/>
    <w:rsid w:val="00B70C13"/>
    <w:rsid w:val="00BA38EB"/>
    <w:rsid w:val="00BA5D09"/>
    <w:rsid w:val="00BB0E10"/>
    <w:rsid w:val="00BB5052"/>
    <w:rsid w:val="00C308F2"/>
    <w:rsid w:val="00C76EAC"/>
    <w:rsid w:val="00C806CD"/>
    <w:rsid w:val="00C825E6"/>
    <w:rsid w:val="00C97BED"/>
    <w:rsid w:val="00CA4E1A"/>
    <w:rsid w:val="00CE528E"/>
    <w:rsid w:val="00D0356D"/>
    <w:rsid w:val="00D052AC"/>
    <w:rsid w:val="00D11714"/>
    <w:rsid w:val="00D82088"/>
    <w:rsid w:val="00DB273C"/>
    <w:rsid w:val="00DD36A5"/>
    <w:rsid w:val="00DF036C"/>
    <w:rsid w:val="00E006C4"/>
    <w:rsid w:val="00E0100A"/>
    <w:rsid w:val="00E02D6B"/>
    <w:rsid w:val="00E11BBB"/>
    <w:rsid w:val="00E157AF"/>
    <w:rsid w:val="00E60E09"/>
    <w:rsid w:val="00E836B2"/>
    <w:rsid w:val="00EB5CB2"/>
    <w:rsid w:val="00EB6C94"/>
    <w:rsid w:val="00EE437D"/>
    <w:rsid w:val="00EE5391"/>
    <w:rsid w:val="00EF25F3"/>
    <w:rsid w:val="00F14A89"/>
    <w:rsid w:val="00F16920"/>
    <w:rsid w:val="00F2188D"/>
    <w:rsid w:val="00F26AA9"/>
    <w:rsid w:val="00F34502"/>
    <w:rsid w:val="00F4196E"/>
    <w:rsid w:val="00F53601"/>
    <w:rsid w:val="00F56094"/>
    <w:rsid w:val="00F567CD"/>
    <w:rsid w:val="00F569E0"/>
    <w:rsid w:val="00F71D7C"/>
    <w:rsid w:val="00F831B8"/>
    <w:rsid w:val="00FA2A5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C"/>
  </w:style>
  <w:style w:type="paragraph" w:styleId="1">
    <w:name w:val="heading 1"/>
    <w:basedOn w:val="a"/>
    <w:next w:val="a"/>
    <w:link w:val="10"/>
    <w:qFormat/>
    <w:rsid w:val="00635016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3D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0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1706"/>
    <w:rPr>
      <w:sz w:val="2"/>
      <w:szCs w:val="2"/>
    </w:rPr>
  </w:style>
  <w:style w:type="character" w:customStyle="1" w:styleId="10">
    <w:name w:val="Заголовок 1 Знак"/>
    <w:link w:val="1"/>
    <w:rsid w:val="00635016"/>
    <w:rPr>
      <w:sz w:val="28"/>
      <w:szCs w:val="24"/>
    </w:rPr>
  </w:style>
  <w:style w:type="paragraph" w:styleId="a6">
    <w:name w:val="Body Text"/>
    <w:basedOn w:val="a"/>
    <w:link w:val="a7"/>
    <w:unhideWhenUsed/>
    <w:rsid w:val="00AE310D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E310D"/>
    <w:rPr>
      <w:sz w:val="28"/>
    </w:rPr>
  </w:style>
  <w:style w:type="paragraph" w:styleId="a8">
    <w:name w:val="No Spacing"/>
    <w:uiPriority w:val="1"/>
    <w:qFormat/>
    <w:rsid w:val="00AE3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kovlevsky@mo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Думы Яковлевского муниципального района</vt:lpstr>
    </vt:vector>
  </TitlesOfParts>
  <Company>Комитет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Думы Яковлевского муниципального района</dc:title>
  <dc:subject/>
  <dc:creator>Disgorge</dc:creator>
  <cp:keywords/>
  <dc:description/>
  <cp:lastModifiedBy>Подложнюк_ЕГ</cp:lastModifiedBy>
  <cp:revision>48</cp:revision>
  <cp:lastPrinted>2020-01-22T23:52:00Z</cp:lastPrinted>
  <dcterms:created xsi:type="dcterms:W3CDTF">2014-12-16T04:21:00Z</dcterms:created>
  <dcterms:modified xsi:type="dcterms:W3CDTF">2021-09-23T03:08:00Z</dcterms:modified>
</cp:coreProperties>
</file>